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spacing w:before="0" w:after="0" w:line="240" w:lineRule="auto"/>
        <w:rPr>
          <w:rFonts w:hint="eastAsia" w:eastAsia="黑体"/>
          <w:b/>
          <w:bCs/>
          <w:sz w:val="84"/>
        </w:rPr>
      </w:pPr>
      <w:r>
        <w:rPr>
          <w:rFonts w:hint="eastAsia" w:eastAsia="黑体"/>
          <w:b/>
          <w:bCs/>
          <w:sz w:val="84"/>
        </w:rPr>
        <w:t xml:space="preserve"> </w:t>
      </w:r>
      <w:r/>
    </w:p>
    <w:p>
      <w:pPr>
        <w:pStyle w:val="1023"/>
        <w:ind w:firstLine="0"/>
        <w:jc w:val="center"/>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23"/>
        <w:ind w:firstLine="2249"/>
        <w:spacing w:before="0" w:after="0" w:line="240" w:lineRule="auto"/>
        <w:rPr>
          <w:rFonts w:hint="eastAsia"/>
          <w:b/>
          <w:bCs/>
          <w:sz w:val="32"/>
        </w:rPr>
      </w:pPr>
      <w:r>
        <w:rPr>
          <w:rFonts w:hint="eastAsia"/>
          <w:b/>
          <w:bCs/>
          <w:sz w:val="32"/>
        </w:rPr>
      </w:r>
      <w:r/>
    </w:p>
    <w:p>
      <w:pPr>
        <w:pStyle w:val="1023"/>
        <w:ind w:firstLine="1285"/>
        <w:spacing w:before="0" w:after="0" w:line="240" w:lineRule="auto"/>
        <w:rPr>
          <w:rFonts w:hint="eastAsia"/>
          <w:b/>
          <w:bCs/>
          <w:sz w:val="32"/>
        </w:rPr>
      </w:pPr>
      <w:r>
        <w:rPr>
          <w:rFonts w:hint="eastAsia"/>
          <w:b/>
          <w:bCs/>
          <w:sz w:val="32"/>
        </w:rPr>
        <w:t xml:space="preserve">项目名称：医院智慧病房二期建设项目</w:t>
      </w:r>
      <w:r>
        <w:rPr>
          <w:rFonts w:hint="eastAsia"/>
          <w:b/>
          <w:bCs/>
          <w:sz w:val="32"/>
        </w:rPr>
      </w:r>
      <w:r/>
    </w:p>
    <w:p>
      <w:pPr>
        <w:pStyle w:val="915"/>
        <w:ind w:firstLine="1285"/>
        <w:rPr>
          <w:b/>
          <w:color w:val="ff0000"/>
          <w:sz w:val="30"/>
          <w:szCs w:val="30"/>
        </w:rPr>
      </w:pPr>
      <w:r>
        <w:rPr>
          <w:rFonts w:hint="eastAsia"/>
          <w:b/>
          <w:bCs/>
          <w:color w:val="ff0000"/>
          <w:sz w:val="32"/>
        </w:rPr>
        <w:t xml:space="preserve">项目编号：JSZC-320400-JZCG-G2025-0467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15"/>
        <w:jc w:val="center"/>
        <w:rPr>
          <w:rFonts w:hint="eastAsia"/>
          <w:b/>
          <w:color w:val="ff0000"/>
          <w:sz w:val="24"/>
          <w:szCs w:val="24"/>
        </w:rPr>
      </w:pPr>
      <w:r>
        <w:rPr>
          <w:rFonts w:hint="eastAsia"/>
          <w:b/>
          <w:color w:val="ff0000"/>
          <w:sz w:val="24"/>
          <w:szCs w:val="24"/>
        </w:rPr>
      </w:r>
      <w:r/>
    </w:p>
    <w:p>
      <w:pPr>
        <w:pStyle w:val="915"/>
        <w:jc w:val="center"/>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30"/>
          <w:szCs w:val="30"/>
        </w:rPr>
      </w:r>
      <w:r/>
    </w:p>
    <w:p>
      <w:pPr>
        <w:pStyle w:val="1023"/>
        <w:ind w:firstLine="0"/>
        <w:spacing w:before="0" w:after="0" w:line="240" w:lineRule="auto"/>
        <w:rPr>
          <w:rFonts w:hint="eastAsia" w:ascii="宋体" w:hAnsi="宋体"/>
        </w:rPr>
      </w:pPr>
      <w:r>
        <w:rPr>
          <w:rFonts w:hint="eastAsia" w:ascii="宋体" w:hAnsi="宋体"/>
        </w:rPr>
      </w:r>
      <w:r/>
    </w:p>
    <w:p>
      <w:pPr>
        <w:pStyle w:val="1023"/>
        <w:ind w:firstLine="0"/>
        <w:spacing w:before="0" w:after="0" w:line="240" w:lineRule="auto"/>
        <w:rPr>
          <w:rFonts w:hint="eastAsia" w:ascii="宋体" w:hAnsi="宋体"/>
        </w:rPr>
      </w:pPr>
      <w:r>
        <w:rPr>
          <w:rFonts w:hint="eastAsia" w:ascii="宋体" w:hAnsi="宋体"/>
        </w:rPr>
      </w:r>
      <w:r/>
    </w:p>
    <w:p>
      <w:pPr>
        <w:pStyle w:val="1023"/>
        <w:ind w:firstLine="0"/>
        <w:spacing w:before="0" w:after="0" w:line="240" w:lineRule="auto"/>
        <w:rPr>
          <w:rFonts w:hint="eastAsia" w:ascii="宋体" w:hAnsi="宋体"/>
        </w:rPr>
      </w:pPr>
      <w:r>
        <w:rPr>
          <w:rFonts w:hint="eastAsia" w:ascii="宋体" w:hAnsi="宋体"/>
        </w:rPr>
      </w:r>
      <w:r/>
    </w:p>
    <w:p>
      <w:pPr>
        <w:pStyle w:val="1023"/>
        <w:ind w:firstLine="0"/>
        <w:spacing w:before="0" w:after="0" w:line="240" w:lineRule="auto"/>
        <w:rPr>
          <w:rFonts w:hint="eastAsia" w:ascii="宋体" w:hAnsi="宋体"/>
        </w:rPr>
      </w:pPr>
      <w:r>
        <w:rPr>
          <w:rFonts w:hint="eastAsia" w:ascii="宋体" w:hAnsi="宋体"/>
        </w:rPr>
      </w:r>
      <w:r/>
    </w:p>
    <w:p>
      <w:pPr>
        <w:pStyle w:val="1023"/>
        <w:ind w:firstLine="0"/>
        <w:spacing w:before="0" w:after="0" w:line="240" w:lineRule="auto"/>
        <w:rPr>
          <w:rFonts w:hint="eastAsia" w:ascii="宋体" w:hAnsi="宋体"/>
        </w:rPr>
      </w:pPr>
      <w:r>
        <w:rPr>
          <w:rFonts w:hint="eastAsia" w:ascii="宋体" w:hAnsi="宋体"/>
        </w:rPr>
      </w:r>
      <w:r/>
    </w:p>
    <w:p>
      <w:pPr>
        <w:pStyle w:val="1023"/>
        <w:ind w:firstLine="0"/>
        <w:spacing w:before="0" w:after="0" w:line="240" w:lineRule="auto"/>
        <w:rPr>
          <w:rFonts w:hint="eastAsia" w:ascii="宋体" w:hAnsi="宋体"/>
        </w:rPr>
      </w:pPr>
      <w:r>
        <w:rPr>
          <w:rFonts w:hint="eastAsia" w:ascii="宋体" w:hAnsi="宋体"/>
        </w:rPr>
      </w:r>
      <w:r/>
    </w:p>
    <w:p>
      <w:pPr>
        <w:pStyle w:val="1023"/>
        <w:ind w:firstLine="0"/>
        <w:spacing w:before="0" w:after="0" w:line="240" w:lineRule="auto"/>
        <w:rPr>
          <w:rFonts w:hint="eastAsia" w:ascii="宋体" w:hAnsi="宋体"/>
        </w:rPr>
      </w:pPr>
      <w:r>
        <w:rPr>
          <w:rFonts w:hint="eastAsia" w:ascii="宋体" w:hAnsi="宋体"/>
        </w:rPr>
      </w:r>
      <w:r/>
    </w:p>
    <w:p>
      <w:pPr>
        <w:pStyle w:val="1023"/>
        <w:ind w:firstLine="0"/>
        <w:jc w:val="center"/>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023"/>
        <w:ind w:firstLine="0"/>
        <w:jc w:val="center"/>
        <w:spacing w:before="0" w:after="0" w:line="240" w:lineRule="auto"/>
        <w:rPr>
          <w:rFonts w:hint="eastAsia"/>
          <w:b/>
          <w:bCs/>
          <w:sz w:val="32"/>
        </w:rPr>
      </w:pPr>
      <w:r>
        <w:rPr>
          <w:rFonts w:hint="eastAsia"/>
          <w:b/>
          <w:bCs/>
          <w:sz w:val="32"/>
        </w:rPr>
        <w:t xml:space="preserve">2025年1</w:t>
      </w:r>
      <w:r>
        <w:rPr>
          <w:rFonts w:hint="eastAsia"/>
          <w:b/>
          <w:bCs/>
          <w:sz w:val="32"/>
          <w:lang w:val="en-US" w:eastAsia="zh-CN"/>
        </w:rPr>
        <w:t xml:space="preserve">2</w:t>
      </w:r>
      <w:r>
        <w:rPr>
          <w:rFonts w:hint="eastAsia"/>
          <w:b/>
          <w:bCs/>
          <w:sz w:val="32"/>
        </w:rPr>
        <w:t xml:space="preserve">月1</w:t>
      </w:r>
      <w:r>
        <w:rPr>
          <w:rFonts w:hint="eastAsia"/>
          <w:b/>
          <w:bCs/>
          <w:sz w:val="32"/>
          <w:lang w:val="en-US" w:eastAsia="zh-CN"/>
        </w:rPr>
        <w:t xml:space="preserve">5</w:t>
      </w:r>
      <w:r>
        <w:rPr>
          <w:rFonts w:hint="eastAsia"/>
          <w:b/>
          <w:bCs/>
          <w:sz w:val="32"/>
        </w:rPr>
        <w:t xml:space="preserve">日</w:t>
      </w:r>
      <w:r>
        <w:rPr>
          <w:rFonts w:hint="eastAsia"/>
          <w:b/>
          <w:bCs/>
          <w:sz w:val="32"/>
        </w:rPr>
      </w:r>
      <w:r/>
    </w:p>
    <w:p>
      <w:pPr>
        <w:pStyle w:val="1023"/>
        <w:ind w:firstLine="0"/>
        <w:spacing w:before="0" w:after="0" w:line="240" w:lineRule="auto"/>
        <w:rPr>
          <w:rFonts w:hint="eastAsia"/>
          <w:u w:val="single"/>
        </w:rPr>
      </w:pPr>
      <w:r>
        <w:rPr>
          <w:rFonts w:hint="eastAsia"/>
        </w:rPr>
        <w:t xml:space="preserve">                        </w:t>
      </w:r>
      <w:r>
        <w:rPr>
          <w:rFonts w:hint="eastAsia"/>
          <w:u w:val="single"/>
        </w:rPr>
      </w:r>
      <w:r/>
    </w:p>
    <w:p>
      <w:pPr>
        <w:pStyle w:val="1023"/>
        <w:ind w:firstLine="0"/>
        <w:jc w:val="center"/>
        <w:spacing w:before="0" w:after="0" w:line="240" w:lineRule="auto"/>
        <w:rPr>
          <w:rFonts w:hint="eastAsia"/>
        </w:rPr>
      </w:pPr>
      <w:r>
        <w:rPr>
          <w:rFonts w:hint="eastAsia"/>
        </w:rPr>
      </w:r>
      <w:r/>
    </w:p>
    <w:p>
      <w:pPr>
        <w:pStyle w:val="915"/>
        <w:jc w:val="center"/>
        <w:rPr>
          <w:rFonts w:hint="eastAsia" w:ascii="黑体" w:hAnsi="Arial" w:eastAsia="黑体"/>
          <w:b/>
          <w:sz w:val="44"/>
        </w:rPr>
        <w:outlineLvl w:val="0"/>
      </w:pPr>
      <w:r>
        <w:br w:type="page" w:clear="all"/>
      </w:r>
      <w:bookmarkStart w:id="0" w:name="_Toc523127445"/>
      <w:r/>
      <w:bookmarkStart w:id="1" w:name="_Toc16938516"/>
      <w:r/>
      <w:bookmarkStart w:id="2" w:name="_Toc513029200"/>
      <w:r/>
      <w:bookmarkStart w:id="3" w:name="_Toc479757206"/>
      <w:r/>
      <w:bookmarkStart w:id="4" w:name="_Toc120614210"/>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5"/>
        <w:jc w:val="center"/>
      </w:pPr>
      <w:r/>
      <w:bookmarkStart w:id="6" w:name="_Toc23750_WPSOffice_Type1"/>
      <w:r/>
      <w:r/>
    </w:p>
    <w:p>
      <w:pPr>
        <w:pStyle w:val="1030"/>
        <w:tabs>
          <w:tab w:val="right" w:pos="8306" w:leader="dot"/>
        </w:tabs>
        <w:rPr>
          <w:sz w:val="36"/>
          <w:szCs w:val="36"/>
        </w:rPr>
      </w:pPr>
      <w:r>
        <w:rPr>
          <w:sz w:val="36"/>
          <w:szCs w:val="36"/>
        </w:rPr>
        <w:fldChar w:fldCharType="begin"/>
      </w:r>
      <w:r>
        <w:rPr>
          <w:sz w:val="36"/>
          <w:szCs w:val="36"/>
        </w:rPr>
        <w:instrText xml:space="preserve"> HYPERLINK \l _Toc14837_WPSOffice_Level1 </w:instrText>
      </w:r>
      <w:r>
        <w:rPr>
          <w:sz w:val="36"/>
          <w:szCs w:val="36"/>
        </w:rPr>
        <w:fldChar w:fldCharType="separate"/>
      </w:r>
      <w:r>
        <w:rPr>
          <w:rFonts w:hint="eastAsia" w:ascii="黑体" w:eastAsia="黑体"/>
          <w:sz w:val="36"/>
          <w:szCs w:val="36"/>
        </w:rPr>
        <w:t xml:space="preserve">第一章  投标邀请</w:t>
      </w:r>
      <w:r>
        <w:rPr>
          <w:sz w:val="36"/>
          <w:szCs w:val="36"/>
        </w:rPr>
        <w:tab/>
      </w:r>
      <w:bookmarkStart w:id="7" w:name="_Toc14837_WPSOffice_Level1Page"/>
      <w:r>
        <w:rPr>
          <w:sz w:val="36"/>
          <w:szCs w:val="36"/>
        </w:rPr>
        <w:t xml:space="preserve">3</w:t>
      </w:r>
      <w:bookmarkEnd w:id="7"/>
      <w:r>
        <w:rPr>
          <w:sz w:val="36"/>
          <w:szCs w:val="36"/>
        </w:rPr>
        <w:fldChar w:fldCharType="end"/>
      </w:r>
      <w:r>
        <w:rPr>
          <w:sz w:val="36"/>
          <w:szCs w:val="36"/>
        </w:rPr>
      </w:r>
      <w:r/>
    </w:p>
    <w:p>
      <w:pPr>
        <w:pStyle w:val="1030"/>
        <w:tabs>
          <w:tab w:val="right" w:pos="8306" w:leader="dot"/>
        </w:tabs>
        <w:rPr>
          <w:sz w:val="36"/>
          <w:szCs w:val="36"/>
        </w:rPr>
      </w:pPr>
      <w:r>
        <w:rPr>
          <w:sz w:val="36"/>
          <w:szCs w:val="36"/>
        </w:rPr>
        <w:fldChar w:fldCharType="begin"/>
      </w:r>
      <w:r>
        <w:rPr>
          <w:sz w:val="36"/>
          <w:szCs w:val="36"/>
        </w:rPr>
        <w:instrText xml:space="preserve"> HYPERLINK \l _Toc2978_WPSOffice_Level1 </w:instrText>
      </w:r>
      <w:r>
        <w:rPr>
          <w:sz w:val="36"/>
          <w:szCs w:val="36"/>
        </w:rPr>
        <w:fldChar w:fldCharType="separate"/>
      </w:r>
      <w:r>
        <w:rPr>
          <w:rFonts w:hint="eastAsia" w:ascii="黑体" w:eastAsia="黑体"/>
          <w:sz w:val="36"/>
          <w:szCs w:val="36"/>
        </w:rPr>
        <w:t xml:space="preserve">第二章  投标人须知</w:t>
      </w:r>
      <w:r>
        <w:rPr>
          <w:sz w:val="36"/>
          <w:szCs w:val="36"/>
        </w:rPr>
        <w:tab/>
      </w:r>
      <w:r>
        <w:rPr>
          <w:rFonts w:hint="eastAsia"/>
          <w:sz w:val="36"/>
          <w:szCs w:val="36"/>
        </w:rPr>
        <w:t xml:space="preserve">5</w:t>
      </w:r>
      <w:r>
        <w:rPr>
          <w:sz w:val="36"/>
          <w:szCs w:val="36"/>
        </w:rPr>
        <w:fldChar w:fldCharType="end"/>
      </w:r>
      <w:r>
        <w:rPr>
          <w:sz w:val="36"/>
          <w:szCs w:val="36"/>
        </w:rPr>
      </w:r>
      <w:r/>
    </w:p>
    <w:p>
      <w:pPr>
        <w:pStyle w:val="1030"/>
        <w:tabs>
          <w:tab w:val="right" w:pos="8306" w:leader="dot"/>
        </w:tabs>
        <w:rPr>
          <w:sz w:val="36"/>
          <w:szCs w:val="36"/>
        </w:rPr>
      </w:pPr>
      <w:r>
        <w:rPr>
          <w:sz w:val="36"/>
          <w:szCs w:val="36"/>
        </w:rPr>
        <w:fldChar w:fldCharType="begin"/>
      </w:r>
      <w:r>
        <w:rPr>
          <w:sz w:val="36"/>
          <w:szCs w:val="36"/>
        </w:rPr>
        <w:instrText xml:space="preserve"> HYPERLINK \l _Toc24306_WPSOffice_Level1 </w:instrText>
      </w:r>
      <w:r>
        <w:rPr>
          <w:sz w:val="36"/>
          <w:szCs w:val="36"/>
        </w:rPr>
        <w:fldChar w:fldCharType="separate"/>
      </w:r>
      <w:r>
        <w:rPr>
          <w:rFonts w:hint="eastAsia" w:ascii="黑体" w:eastAsia="黑体"/>
          <w:sz w:val="36"/>
          <w:szCs w:val="36"/>
        </w:rPr>
        <w:t xml:space="preserve">第三章  合同文本</w:t>
      </w:r>
      <w:r>
        <w:rPr>
          <w:sz w:val="36"/>
          <w:szCs w:val="36"/>
        </w:rPr>
        <w:tab/>
      </w:r>
      <w:bookmarkStart w:id="8" w:name="_Toc24306_WPSOffice_Level1Page"/>
      <w:r>
        <w:rPr>
          <w:sz w:val="36"/>
          <w:szCs w:val="36"/>
        </w:rPr>
        <w:t xml:space="preserve">1</w:t>
      </w:r>
      <w:bookmarkEnd w:id="8"/>
      <w:r>
        <w:rPr>
          <w:rFonts w:hint="eastAsia"/>
          <w:sz w:val="36"/>
          <w:szCs w:val="36"/>
        </w:rPr>
        <w:t xml:space="preserve">6</w:t>
      </w:r>
      <w:r>
        <w:rPr>
          <w:sz w:val="36"/>
          <w:szCs w:val="36"/>
        </w:rPr>
        <w:fldChar w:fldCharType="end"/>
      </w:r>
      <w:r>
        <w:rPr>
          <w:sz w:val="36"/>
          <w:szCs w:val="36"/>
        </w:rPr>
      </w:r>
      <w:r/>
    </w:p>
    <w:p>
      <w:pPr>
        <w:pStyle w:val="1030"/>
        <w:tabs>
          <w:tab w:val="right" w:pos="8306" w:leader="dot"/>
        </w:tabs>
        <w:rPr>
          <w:rFonts w:hint="eastAsia"/>
          <w:sz w:val="36"/>
          <w:szCs w:val="36"/>
        </w:rPr>
      </w:pPr>
      <w:r>
        <w:rPr>
          <w:sz w:val="36"/>
          <w:szCs w:val="36"/>
        </w:rPr>
        <w:fldChar w:fldCharType="begin"/>
      </w:r>
      <w:r>
        <w:rPr>
          <w:sz w:val="36"/>
          <w:szCs w:val="36"/>
        </w:rPr>
        <w:instrText xml:space="preserve"> HYPERLINK \l _Toc30958_WPSOffice_Level1 </w:instrText>
      </w:r>
      <w:r>
        <w:rPr>
          <w:sz w:val="36"/>
          <w:szCs w:val="36"/>
        </w:rPr>
        <w:fldChar w:fldCharType="separate"/>
      </w:r>
      <w:r>
        <w:rPr>
          <w:rFonts w:hint="eastAsia" w:ascii="黑体" w:eastAsia="黑体"/>
          <w:sz w:val="36"/>
          <w:szCs w:val="36"/>
        </w:rPr>
        <w:t xml:space="preserve">第四章  采购需求</w:t>
      </w:r>
      <w:r>
        <w:rPr>
          <w:sz w:val="36"/>
          <w:szCs w:val="36"/>
        </w:rPr>
        <w:tab/>
      </w:r>
      <w:r>
        <w:rPr>
          <w:rFonts w:hint="eastAsia"/>
          <w:sz w:val="36"/>
          <w:szCs w:val="36"/>
        </w:rPr>
        <w:t xml:space="preserve">1</w:t>
      </w:r>
      <w:r>
        <w:rPr>
          <w:sz w:val="36"/>
          <w:szCs w:val="36"/>
        </w:rPr>
        <w:fldChar w:fldCharType="end"/>
      </w:r>
      <w:r>
        <w:rPr>
          <w:rFonts w:hint="eastAsia"/>
          <w:sz w:val="36"/>
          <w:szCs w:val="36"/>
        </w:rPr>
        <w:t xml:space="preserve">9</w:t>
      </w:r>
      <w:r>
        <w:rPr>
          <w:rFonts w:hint="eastAsia"/>
          <w:sz w:val="36"/>
          <w:szCs w:val="36"/>
        </w:rPr>
      </w:r>
      <w:r/>
    </w:p>
    <w:p>
      <w:pPr>
        <w:pStyle w:val="1030"/>
        <w:tabs>
          <w:tab w:val="right" w:pos="8306" w:leader="dot"/>
        </w:tabs>
        <w:rPr>
          <w:sz w:val="36"/>
          <w:szCs w:val="36"/>
        </w:rPr>
      </w:pPr>
      <w:r>
        <w:rPr>
          <w:sz w:val="36"/>
          <w:szCs w:val="36"/>
        </w:rPr>
        <w:fldChar w:fldCharType="begin"/>
      </w:r>
      <w:r>
        <w:rPr>
          <w:sz w:val="36"/>
          <w:szCs w:val="36"/>
        </w:rPr>
        <w:instrText xml:space="preserve"> HYPERLINK \l _Toc26724_WPSOffice_Level1 </w:instrText>
      </w:r>
      <w:r>
        <w:rPr>
          <w:sz w:val="36"/>
          <w:szCs w:val="36"/>
        </w:rPr>
        <w:fldChar w:fldCharType="separate"/>
      </w:r>
      <w:r>
        <w:rPr>
          <w:rFonts w:hint="eastAsia" w:ascii="黑体" w:eastAsia="黑体"/>
          <w:sz w:val="36"/>
          <w:szCs w:val="36"/>
        </w:rPr>
        <w:t xml:space="preserve">第五章  评标方法与评标标准</w:t>
      </w:r>
      <w:r>
        <w:rPr>
          <w:sz w:val="36"/>
          <w:szCs w:val="36"/>
        </w:rPr>
        <w:tab/>
      </w:r>
      <w:bookmarkStart w:id="9" w:name="_Toc26724_WPSOffice_Level1Page"/>
      <w:r>
        <w:rPr>
          <w:sz w:val="36"/>
          <w:szCs w:val="36"/>
        </w:rPr>
        <w:t xml:space="preserve">5</w:t>
      </w:r>
      <w:bookmarkEnd w:id="9"/>
      <w:r>
        <w:rPr>
          <w:rFonts w:hint="eastAsia"/>
          <w:sz w:val="36"/>
          <w:szCs w:val="36"/>
        </w:rPr>
        <w:t xml:space="preserve">8</w:t>
      </w:r>
      <w:r>
        <w:rPr>
          <w:sz w:val="36"/>
          <w:szCs w:val="36"/>
        </w:rPr>
        <w:fldChar w:fldCharType="end"/>
      </w:r>
      <w:r>
        <w:rPr>
          <w:sz w:val="36"/>
          <w:szCs w:val="36"/>
        </w:rPr>
      </w:r>
      <w:r/>
    </w:p>
    <w:p>
      <w:pPr>
        <w:pStyle w:val="1030"/>
        <w:tabs>
          <w:tab w:val="right" w:pos="8306" w:leader="dot"/>
        </w:tabs>
        <w:rPr>
          <w:sz w:val="36"/>
          <w:szCs w:val="36"/>
        </w:rPr>
      </w:pPr>
      <w:r>
        <w:rPr>
          <w:sz w:val="36"/>
          <w:szCs w:val="36"/>
        </w:rPr>
        <w:fldChar w:fldCharType="begin"/>
      </w:r>
      <w:r>
        <w:rPr>
          <w:sz w:val="36"/>
          <w:szCs w:val="36"/>
        </w:rPr>
        <w:instrText xml:space="preserve"> HYPERLINK \l _Toc13876_WPSOffice_Level1 </w:instrText>
      </w:r>
      <w:r>
        <w:rPr>
          <w:sz w:val="36"/>
          <w:szCs w:val="36"/>
        </w:rPr>
        <w:fldChar w:fldCharType="separate"/>
      </w:r>
      <w:r>
        <w:rPr>
          <w:rFonts w:hint="eastAsia" w:ascii="黑体" w:eastAsia="黑体"/>
          <w:sz w:val="36"/>
          <w:szCs w:val="36"/>
        </w:rPr>
        <w:t xml:space="preserve">第六章  投标文件格式</w:t>
      </w:r>
      <w:r>
        <w:rPr>
          <w:sz w:val="36"/>
          <w:szCs w:val="36"/>
        </w:rPr>
        <w:tab/>
      </w:r>
      <w:bookmarkStart w:id="10" w:name="_Toc13876_WPSOffice_Level1Page"/>
      <w:r>
        <w:rPr>
          <w:sz w:val="36"/>
          <w:szCs w:val="36"/>
        </w:rPr>
        <w:t xml:space="preserve">6</w:t>
      </w:r>
      <w:bookmarkEnd w:id="10"/>
      <w:r>
        <w:rPr>
          <w:rFonts w:hint="eastAsia"/>
          <w:sz w:val="36"/>
          <w:szCs w:val="36"/>
        </w:rPr>
        <w:t xml:space="preserve">2</w:t>
      </w:r>
      <w:r>
        <w:rPr>
          <w:sz w:val="36"/>
          <w:szCs w:val="36"/>
        </w:rPr>
        <w:fldChar w:fldCharType="end"/>
      </w:r>
      <w:r>
        <w:rPr>
          <w:sz w:val="36"/>
          <w:szCs w:val="36"/>
        </w:rPr>
      </w:r>
      <w:r/>
    </w:p>
    <w:p>
      <w:pPr>
        <w:pStyle w:val="1030"/>
        <w:tabs>
          <w:tab w:val="right" w:pos="8306" w:leader="dot"/>
        </w:tabs>
      </w:pPr>
      <w:r/>
      <w:bookmarkEnd w:id="6"/>
      <w:r/>
      <w:r/>
    </w:p>
    <w:p>
      <w:pPr>
        <w:pStyle w:val="915"/>
        <w:rPr>
          <w:rFonts w:hint="eastAsia" w:ascii="仿宋_GB2312" w:hAnsi="Arial" w:eastAsia="仿宋_GB2312"/>
          <w:b/>
          <w:sz w:val="28"/>
        </w:rPr>
      </w:pPr>
      <w:r>
        <w:rPr>
          <w:rFonts w:hint="eastAsia" w:ascii="仿宋_GB2312" w:hAnsi="Arial" w:eastAsia="仿宋_GB2312"/>
          <w:b/>
          <w:sz w:val="28"/>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szCs w:val="44"/>
        </w:rPr>
      </w:pPr>
      <w:r/>
      <w:bookmarkStart w:id="11" w:name="_Toc14837_WPSOffice_Level1"/>
      <w:r>
        <w:rPr>
          <w:rFonts w:hint="eastAsia" w:ascii="黑体" w:eastAsia="黑体"/>
          <w:sz w:val="44"/>
          <w:szCs w:val="44"/>
        </w:rPr>
        <w:t xml:space="preserve">第一章  </w:t>
      </w:r>
      <w:bookmarkEnd w:id="4"/>
      <w:r>
        <w:rPr>
          <w:rFonts w:hint="eastAsia" w:ascii="黑体" w:eastAsia="黑体"/>
          <w:sz w:val="44"/>
          <w:szCs w:val="44"/>
        </w:rPr>
        <w:t xml:space="preserve">投标邀请</w:t>
      </w:r>
      <w:bookmarkEnd w:id="11"/>
      <w:r>
        <w:rPr>
          <w:rFonts w:hint="eastAsia" w:ascii="黑体" w:eastAsia="黑体"/>
          <w:bCs/>
          <w:sz w:val="44"/>
          <w:szCs w:val="44"/>
        </w:rPr>
      </w:r>
      <w:r/>
    </w:p>
    <w:p>
      <w:pPr>
        <w:pStyle w:val="915"/>
        <w:ind w:firstLine="480"/>
        <w:rPr>
          <w:rFonts w:ascii="宋体" w:hAnsi="宋体"/>
          <w:sz w:val="24"/>
          <w:szCs w:val="24"/>
        </w:rPr>
      </w:pPr>
      <w:r>
        <w:rPr>
          <w:rFonts w:hint="eastAsia" w:ascii="宋体" w:hAnsi="宋体"/>
          <w:sz w:val="24"/>
          <w:szCs w:val="24"/>
        </w:rPr>
        <w:t xml:space="preserve">受常州市第一人民医院的委托，常州市政府采购中心就医院智慧病房二期建设项目(JSZC-320400-JZCG-G2025-0467)项目进行公开招标采购，欢迎符合条件的供应商投标。</w:t>
      </w:r>
      <w:r>
        <w:rPr>
          <w:rFonts w:ascii="宋体" w:hAnsi="宋体"/>
          <w:sz w:val="24"/>
          <w:szCs w:val="24"/>
        </w:rPr>
      </w:r>
      <w:r/>
    </w:p>
    <w:p>
      <w:pPr>
        <w:pStyle w:val="918"/>
        <w:ind w:firstLine="498"/>
        <w:spacing w:before="0" w:after="0" w:line="240" w:lineRule="auto"/>
      </w:pPr>
      <w:r/>
      <w:bookmarkStart w:id="12" w:name="_Toc35393621"/>
      <w:r/>
      <w:bookmarkStart w:id="13" w:name="_Toc28359002"/>
      <w:r/>
      <w:bookmarkStart w:id="14" w:name="_Toc38985263"/>
      <w:r/>
      <w:bookmarkStart w:id="15" w:name="_Toc35393790"/>
      <w:r/>
      <w:bookmarkStart w:id="16" w:name="_Toc28359079"/>
      <w:r/>
      <w:bookmarkStart w:id="17" w:name="_Hlk24379207"/>
      <w:r>
        <w:rPr>
          <w:rFonts w:hint="eastAsia"/>
        </w:rPr>
        <w:t xml:space="preserve">一、项目基本情况</w:t>
      </w:r>
      <w:bookmarkEnd w:id="12"/>
      <w:r/>
      <w:bookmarkEnd w:id="13"/>
      <w:r/>
      <w:bookmarkEnd w:id="14"/>
      <w:r/>
      <w:bookmarkEnd w:id="15"/>
      <w:r/>
      <w:bookmarkEnd w:id="16"/>
      <w:r/>
      <w:r/>
    </w:p>
    <w:p>
      <w:pPr>
        <w:pStyle w:val="915"/>
        <w:ind w:firstLine="480"/>
        <w:rPr>
          <w:rFonts w:ascii="宋体" w:hAnsi="宋体"/>
          <w:sz w:val="24"/>
          <w:szCs w:val="24"/>
        </w:rPr>
      </w:pPr>
      <w:r>
        <w:rPr>
          <w:rFonts w:hint="eastAsia" w:ascii="宋体" w:hAnsi="宋体"/>
          <w:sz w:val="24"/>
          <w:szCs w:val="24"/>
        </w:rPr>
        <w:t xml:space="preserve">1.项目编号：JSZC-320400-JZCG-G2025-0467</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2.项目名称：医院智慧病房二期建设项目</w:t>
      </w:r>
      <w:r>
        <w:rPr>
          <w:rFonts w:ascii="宋体" w:hAnsi="宋体"/>
          <w:sz w:val="24"/>
          <w:szCs w:val="24"/>
        </w:rPr>
      </w:r>
      <w:r/>
    </w:p>
    <w:p>
      <w:pPr>
        <w:pStyle w:val="915"/>
        <w:ind w:firstLine="480"/>
        <w:rPr>
          <w:rFonts w:hint="eastAsia" w:ascii="宋体" w:hAnsi="宋体"/>
          <w:sz w:val="24"/>
          <w:szCs w:val="24"/>
        </w:rPr>
      </w:pPr>
      <w:r/>
      <w:bookmarkEnd w:id="17"/>
      <w:r>
        <w:rPr>
          <w:rFonts w:hint="eastAsia" w:ascii="宋体" w:hAnsi="宋体"/>
          <w:sz w:val="24"/>
          <w:szCs w:val="24"/>
        </w:rPr>
        <w:t xml:space="preserve">3.预算金额：</w:t>
      </w:r>
      <w:r>
        <w:rPr>
          <w:rFonts w:ascii="宋体" w:hAnsi="宋体"/>
          <w:sz w:val="24"/>
          <w:szCs w:val="24"/>
        </w:rPr>
        <w:t xml:space="preserve">800</w:t>
      </w:r>
      <w:r>
        <w:rPr>
          <w:rFonts w:hint="eastAsia" w:ascii="宋体" w:hAnsi="宋体"/>
          <w:sz w:val="24"/>
          <w:szCs w:val="24"/>
        </w:rPr>
        <w:t xml:space="preserve">万元</w:t>
      </w:r>
      <w:r>
        <w:rPr>
          <w:rFonts w:hint="eastAsia" w:ascii="宋体" w:hAnsi="宋体"/>
          <w:sz w:val="24"/>
          <w:szCs w:val="24"/>
        </w:rPr>
      </w:r>
      <w:r/>
    </w:p>
    <w:p>
      <w:pPr>
        <w:pStyle w:val="915"/>
        <w:ind w:firstLine="480"/>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w:t>
      </w:r>
      <w:r>
        <w:rPr>
          <w:rFonts w:hint="eastAsia" w:ascii="宋体" w:hAnsi="宋体"/>
          <w:color w:val="000000"/>
          <w:sz w:val="24"/>
          <w:szCs w:val="24"/>
        </w:rPr>
        <w:t xml:space="preserve">最高限价为</w:t>
      </w:r>
      <w:r>
        <w:rPr>
          <w:rFonts w:hint="eastAsia" w:ascii="宋体" w:hAnsi="宋体"/>
          <w:color w:val="000000"/>
          <w:sz w:val="24"/>
          <w:szCs w:val="24"/>
          <w:u w:val="single"/>
        </w:rPr>
        <w:t xml:space="preserve">  795  </w:t>
      </w:r>
      <w:r>
        <w:rPr>
          <w:rFonts w:hint="eastAsia" w:ascii="宋体" w:hAnsi="宋体"/>
          <w:color w:val="000000"/>
          <w:sz w:val="24"/>
          <w:szCs w:val="24"/>
        </w:rPr>
        <w:t xml:space="preserve">万元</w:t>
      </w:r>
      <w:r>
        <w:rPr>
          <w:rFonts w:hint="eastAsia" w:ascii="宋体" w:hAnsi="宋体"/>
          <w:sz w:val="24"/>
          <w:szCs w:val="24"/>
        </w:rPr>
        <w:t xml:space="preserve">。</w:t>
      </w:r>
      <w:r>
        <w:rPr>
          <w:rFonts w:ascii="宋体" w:hAnsi="宋体" w:cs="宋体"/>
          <w:sz w:val="24"/>
          <w:szCs w:val="24"/>
        </w:rPr>
      </w:r>
      <w:r/>
    </w:p>
    <w:p>
      <w:pPr>
        <w:pStyle w:val="915"/>
        <w:ind w:firstLine="480"/>
        <w:rPr>
          <w:rFonts w:ascii="宋体" w:hAnsi="宋体"/>
          <w:sz w:val="24"/>
          <w:szCs w:val="24"/>
          <w:u w:val="single"/>
        </w:rPr>
      </w:pPr>
      <w:r>
        <w:rPr>
          <w:rFonts w:hint="eastAsia" w:ascii="宋体" w:hAnsi="宋体"/>
          <w:sz w:val="24"/>
          <w:szCs w:val="24"/>
        </w:rPr>
        <w:t xml:space="preserve">5.采购需求（简介）：结合国家政策号召和医院目前临床护理业务现状，我院拟进行医院智慧病房二期建设项目，旨在通过数据高效采集和利用、护理流程优化、医疗安全提升、服务便捷和多元化等方面建设，达到提升医疗服务质量和效率、改善患者就医体验、提升医院信息化管理水平、推动医院高质量发展的目标。</w:t>
      </w:r>
      <w:r>
        <w:rPr>
          <w:rFonts w:hint="eastAsia" w:ascii="宋体" w:hAnsi="宋体" w:cs="宋体"/>
          <w:sz w:val="24"/>
          <w:szCs w:val="24"/>
        </w:rPr>
        <w:t xml:space="preserve"> </w:t>
      </w:r>
      <w:r>
        <w:rPr>
          <w:rFonts w:ascii="宋体" w:hAnsi="宋体"/>
          <w:sz w:val="24"/>
          <w:szCs w:val="24"/>
          <w:u w:val="single"/>
        </w:rPr>
      </w:r>
      <w:r/>
    </w:p>
    <w:p>
      <w:pPr>
        <w:pStyle w:val="915"/>
        <w:ind w:firstLine="480"/>
        <w:rPr>
          <w:rFonts w:ascii="宋体" w:hAnsi="宋体"/>
          <w:sz w:val="24"/>
          <w:szCs w:val="24"/>
          <w:u w:val="single"/>
        </w:rPr>
      </w:pPr>
      <w:r>
        <w:rPr>
          <w:rFonts w:hint="eastAsia" w:ascii="宋体" w:hAnsi="宋体"/>
          <w:sz w:val="24"/>
          <w:szCs w:val="24"/>
        </w:rPr>
        <w:t xml:space="preserve">6.合同履行期限：项目合同签订且验收后3年内。</w:t>
      </w:r>
      <w:r>
        <w:rPr>
          <w:rFonts w:ascii="宋体" w:hAnsi="宋体"/>
          <w:sz w:val="24"/>
          <w:szCs w:val="24"/>
          <w:u w:val="single"/>
        </w:rPr>
      </w:r>
      <w:r/>
    </w:p>
    <w:p>
      <w:pPr>
        <w:pStyle w:val="918"/>
        <w:ind w:firstLine="498"/>
        <w:spacing w:before="0" w:after="0" w:line="240" w:lineRule="auto"/>
      </w:pPr>
      <w:r/>
      <w:bookmarkStart w:id="18" w:name="_Toc35393622"/>
      <w:r/>
      <w:bookmarkStart w:id="19" w:name="_Toc35393791"/>
      <w:r/>
      <w:bookmarkStart w:id="20" w:name="_Toc38985264"/>
      <w:r/>
      <w:bookmarkStart w:id="21" w:name="_Toc28359080"/>
      <w:r/>
      <w:bookmarkStart w:id="22" w:name="_Toc28359003"/>
      <w:r>
        <w:rPr>
          <w:rFonts w:hint="eastAsia"/>
        </w:rPr>
        <w:t xml:space="preserve">二、申请人的资格要求：</w:t>
      </w:r>
      <w:bookmarkEnd w:id="18"/>
      <w:r/>
      <w:bookmarkEnd w:id="19"/>
      <w:r/>
      <w:bookmarkEnd w:id="20"/>
      <w:r/>
      <w:bookmarkEnd w:id="21"/>
      <w:r/>
      <w:bookmarkEnd w:id="22"/>
      <w:r/>
      <w:r/>
    </w:p>
    <w:p>
      <w:pPr>
        <w:pStyle w:val="915"/>
        <w:ind w:firstLine="480"/>
        <w:rPr>
          <w:rFonts w:hint="eastAsia" w:ascii="宋体" w:hAnsi="宋体"/>
          <w:sz w:val="24"/>
          <w:szCs w:val="24"/>
        </w:rPr>
      </w:pPr>
      <w:r/>
      <w:bookmarkStart w:id="23" w:name="_Toc28359081"/>
      <w:r/>
      <w:bookmarkStart w:id="24" w:name="_Toc28359004"/>
      <w:r/>
      <w:bookmarkStart w:id="25" w:name="_Toc35393623"/>
      <w:r/>
      <w:bookmarkStart w:id="26" w:name="_Toc38985265"/>
      <w:r/>
      <w:bookmarkStart w:id="27"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5"/>
        <w:ind w:firstLine="480"/>
        <w:rPr>
          <w:rFonts w:hint="eastAsia" w:ascii="宋体" w:hAnsi="宋体" w:cs="宋体"/>
          <w:sz w:val="24"/>
          <w:szCs w:val="24"/>
        </w:rPr>
      </w:pPr>
      <w:r>
        <w:rPr>
          <w:rFonts w:hint="eastAsia" w:ascii="宋体" w:hAnsi="宋体"/>
          <w:sz w:val="24"/>
          <w:szCs w:val="24"/>
        </w:rPr>
        <w:t xml:space="preserve">4.本项目不接受联合体投标。</w:t>
      </w:r>
      <w:r>
        <w:rPr>
          <w:rFonts w:hint="eastAsia" w:ascii="宋体" w:hAnsi="宋体" w:cs="宋体"/>
          <w:sz w:val="24"/>
          <w:szCs w:val="24"/>
        </w:rPr>
      </w:r>
      <w:r/>
    </w:p>
    <w:p>
      <w:pPr>
        <w:pStyle w:val="91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8"/>
        <w:ind w:firstLine="498"/>
        <w:spacing w:before="0" w:after="0" w:line="240" w:lineRule="auto"/>
      </w:pPr>
      <w:r>
        <w:rPr>
          <w:rFonts w:hint="eastAsia"/>
        </w:rPr>
        <w:t xml:space="preserve">三、获取招标文件</w:t>
      </w:r>
      <w:bookmarkEnd w:id="23"/>
      <w:r/>
      <w:bookmarkEnd w:id="24"/>
      <w:r/>
      <w:bookmarkEnd w:id="25"/>
      <w:r/>
      <w:bookmarkEnd w:id="26"/>
      <w:r/>
      <w:bookmarkEnd w:id="27"/>
      <w:r/>
      <w:r/>
    </w:p>
    <w:p>
      <w:pPr>
        <w:pStyle w:val="915"/>
        <w:ind w:firstLine="540"/>
        <w:rPr>
          <w:rFonts w:ascii="宋体" w:hAnsi="宋体" w:cs="宋体"/>
          <w:sz w:val="24"/>
          <w:szCs w:val="24"/>
        </w:rPr>
      </w:pPr>
      <w:r/>
      <w:bookmarkStart w:id="28" w:name="_Toc35393624"/>
      <w:r/>
      <w:bookmarkStart w:id="29" w:name="_Toc28359082"/>
      <w:r/>
      <w:bookmarkStart w:id="30" w:name="_Toc28359005"/>
      <w:r/>
      <w:bookmarkStart w:id="31" w:name="_Toc35393793"/>
      <w:r/>
      <w:bookmarkStart w:id="32"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5"/>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8"/>
        <w:ind w:firstLine="498"/>
        <w:spacing w:before="0" w:after="0" w:line="240" w:lineRule="auto"/>
      </w:pPr>
      <w:r/>
      <w:bookmarkEnd w:id="28"/>
      <w:r/>
      <w:bookmarkEnd w:id="29"/>
      <w:r/>
      <w:bookmarkEnd w:id="30"/>
      <w:r/>
      <w:bookmarkEnd w:id="31"/>
      <w:r/>
      <w:bookmarkEnd w:id="32"/>
      <w:r/>
      <w:bookmarkStart w:id="33" w:name="_Toc35393625"/>
      <w:r/>
      <w:bookmarkStart w:id="34" w:name="_Toc35393794"/>
      <w:r/>
      <w:bookmarkStart w:id="35" w:name="_Toc38985267"/>
      <w:r/>
      <w:bookmarkStart w:id="36" w:name="_Toc28359007"/>
      <w:r/>
      <w:bookmarkStart w:id="37" w:name="_Toc28359084"/>
      <w:r>
        <w:rPr>
          <w:rFonts w:hint="eastAsia"/>
        </w:rPr>
        <w:t xml:space="preserve">四、投标文件提交</w:t>
      </w:r>
      <w:r/>
    </w:p>
    <w:p>
      <w:pPr>
        <w:pStyle w:val="915"/>
        <w:ind w:firstLine="540"/>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15"/>
        <w:ind w:firstLine="540"/>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8"/>
        <w:ind w:firstLine="498"/>
        <w:spacing w:before="0" w:after="0" w:line="240" w:lineRule="auto"/>
      </w:pPr>
      <w:r>
        <w:rPr>
          <w:rFonts w:hint="eastAsia"/>
        </w:rPr>
        <w:t xml:space="preserve">五、公告期限</w:t>
      </w:r>
      <w:bookmarkEnd w:id="33"/>
      <w:r/>
      <w:bookmarkEnd w:id="34"/>
      <w:r/>
      <w:bookmarkEnd w:id="35"/>
      <w:r/>
      <w:bookmarkEnd w:id="36"/>
      <w:r/>
      <w:bookmarkEnd w:id="37"/>
      <w:r/>
      <w:r/>
    </w:p>
    <w:p>
      <w:pPr>
        <w:pStyle w:val="915"/>
        <w:ind w:firstLine="480"/>
        <w:rPr>
          <w:rFonts w:ascii="宋体" w:hAnsi="宋体" w:cs="宋体"/>
          <w:sz w:val="24"/>
          <w:szCs w:val="24"/>
        </w:rPr>
      </w:pPr>
      <w:r/>
      <w:bookmarkStart w:id="38" w:name="_Toc38985268"/>
      <w:r/>
      <w:bookmarkStart w:id="39" w:name="_Toc35393626"/>
      <w:r/>
      <w:bookmarkStart w:id="40"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8"/>
        <w:ind w:firstLine="498"/>
        <w:spacing w:before="0" w:after="0" w:line="240" w:lineRule="auto"/>
      </w:pPr>
      <w:r>
        <w:rPr>
          <w:rFonts w:hint="eastAsia"/>
        </w:rPr>
        <w:t xml:space="preserve">六、其他补充事宜</w:t>
      </w:r>
      <w:bookmarkEnd w:id="38"/>
      <w:r/>
      <w:bookmarkEnd w:id="39"/>
      <w:r/>
      <w:bookmarkEnd w:id="40"/>
      <w:r/>
      <w:r/>
    </w:p>
    <w:p>
      <w:pPr>
        <w:pStyle w:val="91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8"/>
        <w:ind w:firstLine="498"/>
        <w:spacing w:before="0" w:after="0" w:line="240" w:lineRule="auto"/>
      </w:pPr>
      <w:r/>
      <w:bookmarkStart w:id="41" w:name="_Toc38985269"/>
      <w:r/>
      <w:bookmarkStart w:id="42" w:name="_Toc28359085"/>
      <w:r/>
      <w:bookmarkStart w:id="43" w:name="_Toc35393796"/>
      <w:r/>
      <w:bookmarkStart w:id="44" w:name="_Toc28359008"/>
      <w:r/>
      <w:bookmarkStart w:id="45" w:name="_Toc35393627"/>
      <w:r>
        <w:rPr>
          <w:rFonts w:hint="eastAsia"/>
        </w:rPr>
        <w:t xml:space="preserve">七、本次招标联系方式</w:t>
      </w:r>
      <w:bookmarkEnd w:id="41"/>
      <w:r/>
      <w:bookmarkEnd w:id="42"/>
      <w:r/>
      <w:bookmarkEnd w:id="43"/>
      <w:r/>
      <w:bookmarkEnd w:id="44"/>
      <w:r/>
      <w:bookmarkEnd w:id="45"/>
      <w:r/>
      <w:r/>
    </w:p>
    <w:p>
      <w:pPr>
        <w:pStyle w:val="91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5"/>
        <w:ind w:left="1079" w:hanging="300"/>
        <w:jc w:val="left"/>
        <w:rPr>
          <w:rFonts w:ascii="宋体" w:hAnsi="宋体"/>
          <w:sz w:val="24"/>
          <w:szCs w:val="24"/>
        </w:rPr>
      </w:pPr>
      <w:r>
        <w:rPr>
          <w:rFonts w:hint="eastAsia" w:ascii="宋体" w:hAnsi="宋体"/>
          <w:sz w:val="24"/>
          <w:szCs w:val="24"/>
        </w:rPr>
        <w:t xml:space="preserve">名    称：常州市第一人民医院　　　　　　　</w:t>
      </w:r>
      <w:r>
        <w:rPr>
          <w:rFonts w:ascii="宋体" w:hAnsi="宋体"/>
          <w:sz w:val="24"/>
          <w:szCs w:val="24"/>
        </w:rPr>
      </w:r>
      <w:r/>
    </w:p>
    <w:p>
      <w:pPr>
        <w:pStyle w:val="915"/>
        <w:ind w:left="1079" w:hanging="300"/>
        <w:jc w:val="left"/>
        <w:rPr>
          <w:rFonts w:ascii="宋体" w:hAnsi="宋体"/>
          <w:sz w:val="24"/>
          <w:szCs w:val="24"/>
        </w:rPr>
      </w:pPr>
      <w:r>
        <w:rPr>
          <w:rFonts w:hint="eastAsia" w:ascii="宋体" w:hAnsi="宋体"/>
          <w:sz w:val="24"/>
          <w:szCs w:val="24"/>
        </w:rPr>
        <w:t xml:space="preserve">地    址：常州市局前街185号　　 　　　　</w:t>
      </w:r>
      <w:r>
        <w:rPr>
          <w:rFonts w:ascii="宋体" w:hAnsi="宋体"/>
          <w:sz w:val="24"/>
          <w:szCs w:val="24"/>
        </w:rPr>
      </w:r>
      <w:r/>
    </w:p>
    <w:p>
      <w:pPr>
        <w:pStyle w:val="915"/>
        <w:ind w:left="1079" w:hanging="300"/>
        <w:jc w:val="left"/>
        <w:rPr>
          <w:rFonts w:ascii="宋体" w:hAnsi="宋体"/>
          <w:sz w:val="24"/>
          <w:szCs w:val="24"/>
        </w:rPr>
      </w:pPr>
      <w:r>
        <w:rPr>
          <w:rFonts w:hint="eastAsia" w:ascii="宋体" w:hAnsi="宋体"/>
          <w:sz w:val="24"/>
          <w:szCs w:val="24"/>
        </w:rPr>
        <w:t xml:space="preserve">联 系 人：刘女士               </w:t>
      </w:r>
      <w:r>
        <w:rPr>
          <w:rFonts w:ascii="宋体" w:hAnsi="宋体"/>
          <w:sz w:val="24"/>
          <w:szCs w:val="24"/>
        </w:rPr>
      </w:r>
      <w:r/>
    </w:p>
    <w:p>
      <w:pPr>
        <w:pStyle w:val="915"/>
        <w:ind w:left="1079" w:hanging="300"/>
        <w:jc w:val="lef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0519-68870725</w:t>
      </w:r>
      <w:r>
        <w:rPr>
          <w:rFonts w:hint="eastAsia" w:ascii="宋体" w:hAnsi="宋体"/>
          <w:sz w:val="24"/>
          <w:szCs w:val="24"/>
        </w:rPr>
        <w:t xml:space="preserve">　　　　 </w:t>
      </w:r>
      <w:bookmarkStart w:id="46" w:name="_Toc28359086"/>
      <w:r/>
      <w:bookmarkStart w:id="47" w:name="_Toc28359009"/>
      <w:r>
        <w:rPr>
          <w:rFonts w:ascii="宋体" w:hAnsi="宋体"/>
          <w:sz w:val="24"/>
          <w:szCs w:val="24"/>
        </w:rPr>
      </w:r>
      <w:r/>
    </w:p>
    <w:p>
      <w:pPr>
        <w:pStyle w:val="915"/>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46"/>
      <w:r/>
      <w:bookmarkEnd w:id="47"/>
      <w:r>
        <w:rPr>
          <w:rFonts w:ascii="宋体" w:hAnsi="宋体"/>
          <w:sz w:val="24"/>
          <w:szCs w:val="24"/>
        </w:rPr>
      </w:r>
      <w:r/>
    </w:p>
    <w:p>
      <w:pPr>
        <w:pStyle w:val="915"/>
        <w:ind w:firstLine="720"/>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5"/>
        <w:ind w:firstLine="720"/>
        <w:rPr>
          <w:rFonts w:ascii="宋体" w:hAnsi="宋体"/>
          <w:sz w:val="24"/>
          <w:szCs w:val="24"/>
        </w:rPr>
      </w:pPr>
      <w:r/>
      <w:bookmarkStart w:id="48" w:name="_Toc28359010"/>
      <w:r/>
      <w:bookmarkStart w:id="49" w:name="_Toc28359087"/>
      <w:r>
        <w:rPr>
          <w:rFonts w:hint="eastAsia" w:ascii="宋体" w:hAnsi="宋体"/>
          <w:sz w:val="24"/>
          <w:szCs w:val="24"/>
        </w:rPr>
        <w:t xml:space="preserve">采购文件相关联系人：施先生                </w:t>
      </w:r>
      <w:r>
        <w:rPr>
          <w:rFonts w:ascii="宋体" w:hAnsi="宋体"/>
          <w:sz w:val="24"/>
          <w:szCs w:val="24"/>
        </w:rPr>
      </w:r>
      <w:r/>
    </w:p>
    <w:p>
      <w:pPr>
        <w:pStyle w:val="915"/>
        <w:ind w:firstLine="720"/>
        <w:rPr>
          <w:rFonts w:ascii="宋体" w:hAnsi="宋体"/>
          <w:sz w:val="24"/>
          <w:szCs w:val="24"/>
        </w:rPr>
      </w:pPr>
      <w:r>
        <w:rPr>
          <w:rFonts w:hint="eastAsia" w:ascii="宋体" w:hAnsi="宋体"/>
          <w:sz w:val="24"/>
          <w:szCs w:val="24"/>
        </w:rPr>
        <w:t xml:space="preserve">电  　话：0519-85588161</w:t>
      </w:r>
      <w:r>
        <w:rPr>
          <w:rFonts w:ascii="宋体" w:hAnsi="宋体"/>
          <w:sz w:val="24"/>
          <w:szCs w:val="24"/>
        </w:rPr>
      </w:r>
      <w:r/>
    </w:p>
    <w:p>
      <w:pPr>
        <w:pStyle w:val="915"/>
        <w:ind w:firstLine="720"/>
        <w:rPr>
          <w:rFonts w:ascii="宋体" w:hAnsi="宋体"/>
          <w:sz w:val="24"/>
          <w:szCs w:val="24"/>
        </w:rPr>
      </w:pPr>
      <w:r>
        <w:rPr>
          <w:rFonts w:hint="eastAsia" w:ascii="宋体" w:hAnsi="宋体"/>
          <w:sz w:val="24"/>
          <w:szCs w:val="24"/>
        </w:rPr>
        <w:t xml:space="preserve">开标评审相关联系人：姚先生             </w:t>
      </w:r>
      <w:r>
        <w:rPr>
          <w:rFonts w:ascii="宋体" w:hAnsi="宋体"/>
          <w:sz w:val="24"/>
          <w:szCs w:val="24"/>
        </w:rPr>
      </w:r>
      <w:r/>
    </w:p>
    <w:p>
      <w:pPr>
        <w:pStyle w:val="915"/>
        <w:ind w:firstLine="720"/>
        <w:rPr>
          <w:rFonts w:ascii="宋体" w:hAnsi="宋体"/>
          <w:sz w:val="24"/>
          <w:szCs w:val="24"/>
        </w:rPr>
      </w:pPr>
      <w:r>
        <w:rPr>
          <w:rFonts w:hint="eastAsia" w:ascii="宋体" w:hAnsi="宋体"/>
          <w:sz w:val="24"/>
          <w:szCs w:val="24"/>
        </w:rPr>
        <w:t xml:space="preserve">电  　话：0519-85588165</w:t>
      </w:r>
      <w:r>
        <w:rPr>
          <w:rFonts w:ascii="宋体" w:hAnsi="宋体"/>
          <w:sz w:val="24"/>
          <w:szCs w:val="24"/>
        </w:rPr>
      </w:r>
      <w:r/>
    </w:p>
    <w:p>
      <w:pPr>
        <w:pStyle w:val="915"/>
        <w:ind w:firstLine="720"/>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5"/>
        <w:ind w:firstLine="720"/>
        <w:rPr>
          <w:rFonts w:ascii="宋体" w:hAnsi="宋体"/>
          <w:sz w:val="24"/>
          <w:szCs w:val="24"/>
        </w:rPr>
      </w:pPr>
      <w:r>
        <w:rPr>
          <w:rFonts w:ascii="宋体" w:hAnsi="宋体"/>
          <w:sz w:val="24"/>
          <w:szCs w:val="24"/>
        </w:rPr>
      </w:r>
      <w:r/>
    </w:p>
    <w:p>
      <w:pPr>
        <w:pStyle w:val="918"/>
        <w:ind w:firstLine="498"/>
        <w:spacing w:before="0" w:after="0" w:line="240" w:lineRule="auto"/>
      </w:pPr>
      <w:r/>
      <w:bookmarkEnd w:id="48"/>
      <w:r/>
      <w:bookmarkEnd w:id="49"/>
      <w:r>
        <w:rPr>
          <w:rFonts w:hint="eastAsia"/>
        </w:rPr>
        <w:t xml:space="preserve">八、其他</w:t>
      </w:r>
      <w:r/>
    </w:p>
    <w:p>
      <w:pPr>
        <w:pStyle w:val="915"/>
        <w:ind w:firstLine="480"/>
        <w:jc w:val="lef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15"/>
        <w:ind w:firstLine="480"/>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5"/>
        <w:ind w:firstLine="480"/>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15"/>
        <w:ind w:firstLine="480"/>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15"/>
        <w:ind w:firstLine="480"/>
        <w:rPr>
          <w:rFonts w:hint="eastAsia" w:ascii="宋体" w:hAnsi="宋体"/>
          <w:sz w:val="24"/>
        </w:rPr>
      </w:pPr>
      <w:r>
        <w:rPr>
          <w:rFonts w:hint="eastAsia" w:ascii="宋体" w:hAnsi="宋体"/>
          <w:sz w:val="24"/>
        </w:rPr>
      </w:r>
      <w:r/>
    </w:p>
    <w:p>
      <w:pPr>
        <w:pStyle w:val="915"/>
        <w:ind w:right="840"/>
        <w:jc w:val="center"/>
        <w:rPr>
          <w:rFonts w:hint="eastAsia" w:ascii="黑体" w:eastAsia="黑体"/>
          <w:sz w:val="44"/>
          <w:szCs w:val="44"/>
        </w:rPr>
      </w:pPr>
      <w:r>
        <w:rPr>
          <w:rFonts w:ascii="宋体" w:hAnsi="宋体"/>
          <w:sz w:val="24"/>
          <w:szCs w:val="24"/>
        </w:rPr>
        <w:br w:type="page" w:clear="all"/>
      </w:r>
      <w:bookmarkStart w:id="50" w:name="_Toc120614211"/>
      <w:r/>
      <w:bookmarkStart w:id="51" w:name="_Toc2978_WPSOffice_Level1"/>
      <w:r>
        <w:rPr>
          <w:rFonts w:hint="eastAsia" w:ascii="黑体" w:eastAsia="黑体"/>
          <w:sz w:val="44"/>
          <w:szCs w:val="44"/>
        </w:rPr>
        <w:t xml:space="preserve">第二章  </w:t>
      </w:r>
      <w:bookmarkEnd w:id="0"/>
      <w:r/>
      <w:bookmarkEnd w:id="1"/>
      <w:r/>
      <w:bookmarkEnd w:id="2"/>
      <w:r/>
      <w:bookmarkEnd w:id="3"/>
      <w:r/>
      <w:bookmarkEnd w:id="5"/>
      <w:r/>
      <w:bookmarkEnd w:id="50"/>
      <w:r/>
      <w:bookmarkStart w:id="52" w:name="_Toc513029202"/>
      <w:r/>
      <w:bookmarkStart w:id="53" w:name="_Toc16938518"/>
      <w:r/>
      <w:bookmarkStart w:id="54" w:name="_Toc20823274"/>
      <w:r/>
      <w:bookmarkStart w:id="55" w:name="_Toc120614213"/>
      <w:r>
        <w:rPr>
          <w:rFonts w:hint="eastAsia" w:ascii="黑体" w:eastAsia="黑体"/>
          <w:sz w:val="44"/>
          <w:szCs w:val="44"/>
        </w:rPr>
        <w:t xml:space="preserve">投标人须知</w:t>
      </w:r>
      <w:bookmarkEnd w:id="51"/>
      <w:r/>
      <w:bookmarkEnd w:id="52"/>
      <w:r/>
      <w:bookmarkEnd w:id="53"/>
      <w:r/>
      <w:bookmarkEnd w:id="54"/>
      <w:r/>
      <w:bookmarkEnd w:id="55"/>
      <w:r>
        <w:rPr>
          <w:rFonts w:hint="eastAsia" w:ascii="黑体" w:eastAsia="黑体"/>
          <w:sz w:val="44"/>
          <w:szCs w:val="44"/>
        </w:rPr>
      </w:r>
      <w:r/>
    </w:p>
    <w:p>
      <w:pPr>
        <w:pStyle w:val="918"/>
        <w:ind w:firstLine="498"/>
        <w:spacing w:before="0" w:after="0" w:line="240" w:lineRule="auto"/>
        <w:rPr>
          <w:rFonts w:hint="eastAsia"/>
        </w:rPr>
      </w:pPr>
      <w:r/>
      <w:bookmarkStart w:id="56" w:name="_Toc16938519"/>
      <w:r/>
      <w:bookmarkStart w:id="57" w:name="_Toc20823275"/>
      <w:r/>
      <w:bookmarkStart w:id="58" w:name="_Toc513029203"/>
      <w:r/>
      <w:bookmarkStart w:id="59" w:name="_Toc120614214"/>
      <w:r>
        <w:rPr>
          <w:rFonts w:hint="eastAsia"/>
        </w:rPr>
        <w:t xml:space="preserve">一、总则</w:t>
      </w:r>
      <w:bookmarkEnd w:id="56"/>
      <w:r/>
      <w:bookmarkEnd w:id="57"/>
      <w:r/>
      <w:bookmarkEnd w:id="58"/>
      <w:r/>
      <w:bookmarkEnd w:id="59"/>
      <w:r>
        <w:rPr>
          <w:rFonts w:hint="eastAsia"/>
        </w:rPr>
      </w:r>
      <w:r/>
    </w:p>
    <w:p>
      <w:pPr>
        <w:pStyle w:val="919"/>
        <w:ind w:firstLine="420"/>
        <w:spacing w:before="0" w:after="0" w:line="240" w:lineRule="auto"/>
        <w:rPr>
          <w:rFonts w:hint="eastAsia"/>
          <w:b w:val="0"/>
          <w:bCs w:val="0"/>
        </w:rPr>
      </w:pPr>
      <w:r/>
      <w:bookmarkStart w:id="60" w:name="_Hlt16619475"/>
      <w:r/>
      <w:bookmarkEnd w:id="60"/>
      <w:r/>
      <w:bookmarkStart w:id="61" w:name="_Toc458694821"/>
      <w:r/>
      <w:bookmarkStart w:id="62" w:name="_Toc513029204"/>
      <w:r/>
      <w:bookmarkStart w:id="63" w:name="_Toc20823276"/>
      <w:r/>
      <w:bookmarkStart w:id="64" w:name="_Toc16938520"/>
      <w:r>
        <w:rPr>
          <w:rFonts w:hint="eastAsia"/>
          <w:b w:val="0"/>
          <w:bCs w:val="0"/>
        </w:rPr>
        <w:t xml:space="preserve">1</w:t>
      </w:r>
      <w:bookmarkEnd w:id="61"/>
      <w:r>
        <w:rPr>
          <w:rFonts w:hint="eastAsia"/>
          <w:b w:val="0"/>
          <w:bCs w:val="0"/>
        </w:rPr>
        <w:t xml:space="preserve">、招标方式</w:t>
      </w:r>
      <w:bookmarkEnd w:id="62"/>
      <w:r/>
      <w:bookmarkEnd w:id="63"/>
      <w:r/>
      <w:bookmarkEnd w:id="64"/>
      <w:r>
        <w:rPr>
          <w:rFonts w:hint="eastAsia"/>
          <w:b w:val="0"/>
          <w:bCs w:val="0"/>
        </w:rPr>
      </w:r>
      <w:r/>
    </w:p>
    <w:p>
      <w:pPr>
        <w:pStyle w:val="915"/>
        <w:ind w:firstLine="480"/>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9"/>
        <w:ind w:firstLine="420"/>
        <w:spacing w:before="0" w:after="0" w:line="240" w:lineRule="auto"/>
        <w:rPr>
          <w:rFonts w:hint="eastAsia"/>
          <w:b w:val="0"/>
          <w:bCs w:val="0"/>
        </w:rPr>
      </w:pPr>
      <w:r/>
      <w:bookmarkStart w:id="65" w:name="_Toc20823277"/>
      <w:r/>
      <w:bookmarkStart w:id="66" w:name="_Toc513029205"/>
      <w:r/>
      <w:bookmarkStart w:id="67" w:name="_Toc16938521"/>
      <w:r>
        <w:rPr>
          <w:rFonts w:hint="eastAsia"/>
          <w:b w:val="0"/>
          <w:bCs w:val="0"/>
        </w:rPr>
        <w:t xml:space="preserve">2、合格的投标人</w:t>
      </w:r>
      <w:bookmarkEnd w:id="65"/>
      <w:r/>
      <w:bookmarkEnd w:id="66"/>
      <w:r/>
      <w:bookmarkEnd w:id="67"/>
      <w:r>
        <w:rPr>
          <w:rFonts w:hint="eastAsia"/>
          <w:b w:val="0"/>
          <w:bCs w:val="0"/>
        </w:rPr>
      </w:r>
      <w:r/>
    </w:p>
    <w:p>
      <w:pPr>
        <w:pStyle w:val="915"/>
        <w:ind w:firstLine="480"/>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9"/>
        <w:ind w:firstLine="420"/>
        <w:spacing w:before="0" w:after="0" w:line="240" w:lineRule="auto"/>
        <w:rPr>
          <w:rFonts w:hint="eastAsia"/>
          <w:b w:val="0"/>
          <w:bCs w:val="0"/>
        </w:rPr>
      </w:pPr>
      <w:r/>
      <w:bookmarkStart w:id="68" w:name="_Toc20823278"/>
      <w:r/>
      <w:bookmarkStart w:id="69" w:name="_Toc513029206"/>
      <w:r/>
      <w:bookmarkStart w:id="70" w:name="_Toc16938522"/>
      <w:r>
        <w:rPr>
          <w:rFonts w:hint="eastAsia"/>
          <w:b w:val="0"/>
          <w:bCs w:val="0"/>
        </w:rPr>
        <w:t xml:space="preserve">3、适用法律</w:t>
      </w:r>
      <w:bookmarkEnd w:id="68"/>
      <w:r/>
      <w:bookmarkEnd w:id="69"/>
      <w:r/>
      <w:bookmarkEnd w:id="70"/>
      <w:r>
        <w:rPr>
          <w:rFonts w:hint="eastAsia"/>
          <w:b w:val="0"/>
          <w:bCs w:val="0"/>
        </w:rPr>
      </w:r>
      <w:r/>
    </w:p>
    <w:p>
      <w:pPr>
        <w:pStyle w:val="915"/>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9"/>
        <w:ind w:firstLine="420"/>
        <w:spacing w:before="0" w:after="0" w:line="240" w:lineRule="auto"/>
        <w:rPr>
          <w:rFonts w:hint="eastAsia"/>
          <w:b w:val="0"/>
          <w:bCs w:val="0"/>
        </w:rPr>
      </w:pPr>
      <w:r/>
      <w:bookmarkStart w:id="71" w:name="_Toc16938523"/>
      <w:r/>
      <w:bookmarkStart w:id="72" w:name="_Toc20823279"/>
      <w:r/>
      <w:bookmarkStart w:id="73" w:name="_Toc462564067"/>
      <w:r/>
      <w:bookmarkStart w:id="74" w:name="_Toc513029207"/>
      <w:r>
        <w:rPr>
          <w:rFonts w:hint="eastAsia"/>
          <w:b w:val="0"/>
          <w:bCs w:val="0"/>
        </w:rPr>
        <w:t xml:space="preserve">4、投标费用</w:t>
      </w:r>
      <w:bookmarkEnd w:id="71"/>
      <w:r/>
      <w:bookmarkEnd w:id="72"/>
      <w:r/>
      <w:bookmarkEnd w:id="73"/>
      <w:r/>
      <w:bookmarkEnd w:id="74"/>
      <w:r>
        <w:rPr>
          <w:rFonts w:hint="eastAsia"/>
          <w:b w:val="0"/>
          <w:bCs w:val="0"/>
        </w:rPr>
      </w:r>
      <w:r/>
    </w:p>
    <w:p>
      <w:pPr>
        <w:pStyle w:val="915"/>
        <w:ind w:firstLine="480"/>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15"/>
        <w:ind w:firstLine="480"/>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9"/>
        <w:ind w:firstLine="602"/>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5"/>
        <w:ind w:firstLine="480"/>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8"/>
        <w:ind w:firstLine="321"/>
        <w:spacing w:before="0" w:after="0" w:line="240" w:lineRule="auto"/>
        <w:rPr>
          <w:rFonts w:hint="eastAsia"/>
        </w:rPr>
      </w:pPr>
      <w:r/>
      <w:bookmarkStart w:id="75" w:name="_Toc513029209"/>
      <w:r/>
      <w:bookmarkStart w:id="76" w:name="_Toc20823281"/>
      <w:r/>
      <w:bookmarkStart w:id="77" w:name="_Toc16938525"/>
      <w:r/>
      <w:bookmarkStart w:id="78" w:name="_Toc120614215"/>
      <w:r>
        <w:rPr>
          <w:rFonts w:hint="eastAsia"/>
        </w:rPr>
        <w:t xml:space="preserve">二、招标文件</w:t>
      </w:r>
      <w:bookmarkEnd w:id="75"/>
      <w:r/>
      <w:bookmarkEnd w:id="76"/>
      <w:r/>
      <w:bookmarkEnd w:id="77"/>
      <w:r/>
      <w:bookmarkEnd w:id="78"/>
      <w:r>
        <w:rPr>
          <w:rFonts w:hint="eastAsia"/>
        </w:rPr>
      </w:r>
      <w:r/>
    </w:p>
    <w:p>
      <w:pPr>
        <w:pStyle w:val="919"/>
        <w:ind w:firstLine="420"/>
        <w:spacing w:before="0" w:after="0" w:line="240" w:lineRule="auto"/>
        <w:rPr>
          <w:rFonts w:hint="eastAsia"/>
          <w:b w:val="0"/>
          <w:bCs w:val="0"/>
        </w:rPr>
      </w:pPr>
      <w:r/>
      <w:bookmarkStart w:id="79" w:name="_Toc16938526"/>
      <w:r/>
      <w:bookmarkStart w:id="80" w:name="_Toc513029210"/>
      <w:r/>
      <w:bookmarkStart w:id="81" w:name="_Toc20823282"/>
      <w:r>
        <w:rPr>
          <w:rFonts w:hint="eastAsia"/>
          <w:b w:val="0"/>
          <w:bCs w:val="0"/>
        </w:rPr>
        <w:t xml:space="preserve">6、招标文件构成</w:t>
      </w:r>
      <w:bookmarkEnd w:id="79"/>
      <w:r/>
      <w:bookmarkEnd w:id="80"/>
      <w:r/>
      <w:bookmarkEnd w:id="81"/>
      <w:r>
        <w:rPr>
          <w:rFonts w:hint="eastAsia"/>
          <w:b w:val="0"/>
          <w:bCs w:val="0"/>
        </w:rPr>
      </w:r>
      <w:r/>
    </w:p>
    <w:p>
      <w:pPr>
        <w:pStyle w:val="915"/>
        <w:ind w:firstLine="480"/>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5"/>
        <w:ind w:firstLine="360"/>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5"/>
        <w:ind w:firstLine="360"/>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5"/>
        <w:ind w:firstLine="360"/>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5"/>
        <w:ind w:firstLine="360"/>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5"/>
        <w:ind w:firstLine="360"/>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5"/>
        <w:ind w:firstLine="480"/>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5"/>
        <w:ind w:firstLine="480"/>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9"/>
        <w:ind w:firstLine="560"/>
        <w:spacing w:before="0" w:after="0" w:line="240" w:lineRule="auto"/>
        <w:rPr>
          <w:rFonts w:hint="eastAsia"/>
          <w:b w:val="0"/>
          <w:bCs w:val="0"/>
        </w:rPr>
      </w:pPr>
      <w:r/>
      <w:bookmarkStart w:id="82" w:name="_Toc16938527"/>
      <w:r/>
      <w:bookmarkStart w:id="83" w:name="_Toc20823283"/>
      <w:r/>
      <w:bookmarkStart w:id="84" w:name="_Toc462564070"/>
      <w:r/>
      <w:bookmarkStart w:id="85" w:name="_Toc513029211"/>
      <w:r>
        <w:rPr>
          <w:rFonts w:hint="eastAsia"/>
          <w:b w:val="0"/>
          <w:bCs w:val="0"/>
        </w:rPr>
        <w:t xml:space="preserve">7、招标文件的澄清</w:t>
      </w:r>
      <w:bookmarkEnd w:id="82"/>
      <w:r/>
      <w:bookmarkEnd w:id="83"/>
      <w:r/>
      <w:bookmarkEnd w:id="84"/>
      <w:r/>
      <w:bookmarkEnd w:id="85"/>
      <w:r>
        <w:rPr>
          <w:rFonts w:hint="eastAsia"/>
          <w:b w:val="0"/>
          <w:bCs w:val="0"/>
        </w:rPr>
      </w:r>
      <w:r/>
    </w:p>
    <w:p>
      <w:pPr>
        <w:pStyle w:val="915"/>
        <w:ind w:firstLine="480"/>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9"/>
        <w:ind w:firstLine="560"/>
        <w:spacing w:before="0" w:after="0" w:line="240" w:lineRule="auto"/>
        <w:rPr>
          <w:rFonts w:hint="eastAsia"/>
          <w:b w:val="0"/>
          <w:bCs w:val="0"/>
        </w:rPr>
      </w:pPr>
      <w:r/>
      <w:bookmarkStart w:id="86" w:name="_Toc462564071"/>
      <w:r/>
      <w:bookmarkStart w:id="87" w:name="_Toc20823284"/>
      <w:r/>
      <w:bookmarkStart w:id="88" w:name="_Toc16938528"/>
      <w:r/>
      <w:bookmarkStart w:id="89" w:name="_Toc513029212"/>
      <w:r>
        <w:rPr>
          <w:rFonts w:hint="eastAsia"/>
          <w:b w:val="0"/>
          <w:bCs w:val="0"/>
        </w:rPr>
        <w:t xml:space="preserve">8、招标文件的修改</w:t>
      </w:r>
      <w:bookmarkEnd w:id="86"/>
      <w:r/>
      <w:bookmarkEnd w:id="87"/>
      <w:r/>
      <w:bookmarkEnd w:id="88"/>
      <w:r/>
      <w:bookmarkEnd w:id="89"/>
      <w:r>
        <w:rPr>
          <w:rFonts w:hint="eastAsia"/>
          <w:b w:val="0"/>
          <w:bCs w:val="0"/>
        </w:rPr>
      </w:r>
      <w:r/>
    </w:p>
    <w:p>
      <w:pPr>
        <w:pStyle w:val="915"/>
        <w:ind w:firstLine="480"/>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5"/>
        <w:ind w:firstLine="480"/>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5"/>
        <w:ind w:firstLine="480"/>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8"/>
        <w:ind w:firstLine="482"/>
        <w:spacing w:before="0" w:after="0" w:line="240" w:lineRule="auto"/>
        <w:rPr>
          <w:rFonts w:hint="eastAsia"/>
        </w:rPr>
      </w:pPr>
      <w:r/>
      <w:bookmarkStart w:id="90" w:name="_Toc20823285"/>
      <w:r/>
      <w:bookmarkStart w:id="91" w:name="_Toc120614216"/>
      <w:r/>
      <w:bookmarkStart w:id="92" w:name="_Toc462564072"/>
      <w:r/>
      <w:bookmarkStart w:id="93" w:name="_Toc513029213"/>
      <w:r/>
      <w:bookmarkStart w:id="94" w:name="_Toc16938529"/>
      <w:r>
        <w:rPr>
          <w:rFonts w:hint="eastAsia"/>
        </w:rPr>
        <w:t xml:space="preserve">三、投标文件的编制</w:t>
      </w:r>
      <w:bookmarkEnd w:id="90"/>
      <w:r/>
      <w:bookmarkEnd w:id="91"/>
      <w:r/>
      <w:bookmarkEnd w:id="92"/>
      <w:r/>
      <w:bookmarkEnd w:id="93"/>
      <w:r/>
      <w:bookmarkEnd w:id="94"/>
      <w:r>
        <w:rPr>
          <w:rFonts w:hint="eastAsia"/>
        </w:rPr>
      </w:r>
      <w:r/>
    </w:p>
    <w:p>
      <w:pPr>
        <w:pStyle w:val="919"/>
        <w:ind w:firstLine="560"/>
        <w:spacing w:before="0" w:after="0" w:line="240" w:lineRule="auto"/>
        <w:rPr>
          <w:rFonts w:hint="eastAsia"/>
          <w:bCs w:val="0"/>
        </w:rPr>
      </w:pPr>
      <w:r/>
      <w:bookmarkStart w:id="95" w:name="_Toc462564073"/>
      <w:r/>
      <w:bookmarkStart w:id="96" w:name="_Toc513029214"/>
      <w:r/>
      <w:bookmarkStart w:id="97" w:name="_Toc16938530"/>
      <w:r/>
      <w:bookmarkStart w:id="98" w:name="_Toc20823286"/>
      <w:r>
        <w:rPr>
          <w:rFonts w:hint="eastAsia"/>
          <w:b w:val="0"/>
          <w:bCs w:val="0"/>
        </w:rPr>
        <w:t xml:space="preserve">9、投标文件的语言及度量衡单位</w:t>
      </w:r>
      <w:bookmarkEnd w:id="95"/>
      <w:r/>
      <w:bookmarkEnd w:id="96"/>
      <w:r/>
      <w:bookmarkEnd w:id="97"/>
      <w:r/>
      <w:bookmarkEnd w:id="98"/>
      <w:r>
        <w:rPr>
          <w:rFonts w:hint="eastAsia"/>
          <w:bCs w:val="0"/>
        </w:rPr>
      </w:r>
      <w:r/>
    </w:p>
    <w:p>
      <w:pPr>
        <w:pStyle w:val="915"/>
        <w:ind w:firstLine="480"/>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5"/>
        <w:ind w:firstLine="480"/>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9"/>
        <w:ind w:firstLine="420"/>
        <w:spacing w:before="0" w:after="0" w:line="240" w:lineRule="auto"/>
        <w:rPr>
          <w:rFonts w:hint="eastAsia"/>
          <w:b w:val="0"/>
          <w:bCs w:val="0"/>
        </w:rPr>
      </w:pPr>
      <w:r/>
      <w:bookmarkStart w:id="99" w:name="_Toc16938531"/>
      <w:r/>
      <w:bookmarkStart w:id="100" w:name="_Toc513029215"/>
      <w:r/>
      <w:bookmarkStart w:id="101" w:name="_Toc20823287"/>
      <w:r/>
      <w:bookmarkStart w:id="102" w:name="_Toc462564074"/>
      <w:r>
        <w:rPr>
          <w:rFonts w:hint="eastAsia"/>
          <w:b w:val="0"/>
          <w:bCs w:val="0"/>
        </w:rPr>
        <w:t xml:space="preserve">10、投标文件构成</w:t>
      </w:r>
      <w:bookmarkEnd w:id="99"/>
      <w:r/>
      <w:bookmarkEnd w:id="100"/>
      <w:r/>
      <w:bookmarkEnd w:id="101"/>
      <w:r/>
      <w:bookmarkEnd w:id="102"/>
      <w:r>
        <w:rPr>
          <w:rFonts w:hint="eastAsia"/>
          <w:b w:val="0"/>
          <w:bCs w:val="0"/>
        </w:rPr>
      </w:r>
      <w:r/>
    </w:p>
    <w:p>
      <w:pPr>
        <w:pStyle w:val="915"/>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5"/>
        <w:ind w:firstLine="480"/>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9"/>
        <w:ind w:firstLine="420"/>
        <w:spacing w:before="0" w:after="0" w:line="240" w:lineRule="auto"/>
        <w:rPr>
          <w:rFonts w:hint="eastAsia"/>
          <w:b w:val="0"/>
          <w:bCs w:val="0"/>
        </w:rPr>
      </w:pPr>
      <w:r/>
      <w:bookmarkStart w:id="103" w:name="_Hlt26670360"/>
      <w:r/>
      <w:bookmarkEnd w:id="103"/>
      <w:r/>
      <w:bookmarkStart w:id="104" w:name="_Hlt26954838"/>
      <w:r/>
      <w:bookmarkEnd w:id="104"/>
      <w:r/>
      <w:bookmarkStart w:id="105" w:name="_Hlt26668975"/>
      <w:r/>
      <w:bookmarkEnd w:id="105"/>
      <w:r/>
      <w:bookmarkStart w:id="106" w:name="_Toc513029219"/>
      <w:r/>
      <w:bookmarkStart w:id="107" w:name="_Toc49090509"/>
      <w:r/>
      <w:bookmarkStart w:id="108" w:name="_Toc14577357"/>
      <w:r/>
      <w:bookmarkStart w:id="109" w:name="_Toc513029216"/>
      <w:r/>
      <w:bookmarkStart w:id="110" w:name="_Toc49090507"/>
      <w:r/>
      <w:bookmarkStart w:id="111" w:name="_Toc14577354"/>
      <w:r>
        <w:rPr>
          <w:rFonts w:hint="eastAsia"/>
          <w:b w:val="0"/>
          <w:bCs w:val="0"/>
        </w:rPr>
        <w:t xml:space="preserve">11、证明投标人及投标标的符合招标文件规定的文件</w:t>
      </w:r>
      <w:bookmarkEnd w:id="106"/>
      <w:r/>
      <w:bookmarkEnd w:id="107"/>
      <w:r/>
      <w:bookmarkEnd w:id="108"/>
      <w:r>
        <w:rPr>
          <w:rFonts w:hint="eastAsia"/>
          <w:b w:val="0"/>
          <w:bCs w:val="0"/>
        </w:rPr>
      </w:r>
      <w:r/>
    </w:p>
    <w:p>
      <w:pPr>
        <w:pStyle w:val="915"/>
        <w:rPr>
          <w:rFonts w:hint="eastAsia" w:ascii="宋体" w:hAnsi="宋体"/>
          <w:sz w:val="24"/>
          <w:szCs w:val="24"/>
        </w:rPr>
      </w:pPr>
      <w:r/>
      <w:bookmarkEnd w:id="109"/>
      <w:r/>
      <w:bookmarkEnd w:id="110"/>
      <w:r/>
      <w:bookmarkEnd w:id="111"/>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9"/>
        <w:ind w:firstLine="420"/>
        <w:spacing w:before="0" w:after="0" w:line="240" w:lineRule="auto"/>
        <w:rPr>
          <w:rFonts w:hint="eastAsia"/>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Pr>
          <w:rFonts w:hint="eastAsia"/>
          <w:b w:val="0"/>
          <w:bCs w:val="0"/>
        </w:rPr>
      </w:r>
      <w:r/>
    </w:p>
    <w:p>
      <w:pPr>
        <w:pStyle w:val="915"/>
        <w:ind w:firstLine="480"/>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rPr>
          <w:rFonts w:hint="eastAsia" w:ascii="宋体" w:hAnsi="宋体"/>
          <w:bCs/>
          <w:sz w:val="24"/>
        </w:rPr>
      </w:r>
      <w:r/>
    </w:p>
    <w:p>
      <w:pPr>
        <w:pStyle w:val="915"/>
        <w:ind w:firstLine="480"/>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9"/>
        <w:ind w:firstLine="420"/>
        <w:spacing w:before="0" w:after="0" w:line="240" w:lineRule="auto"/>
        <w:rPr>
          <w:rFonts w:hint="eastAsia"/>
          <w:b w:val="0"/>
          <w:bCs w:val="0"/>
        </w:rPr>
      </w:pPr>
      <w:r/>
      <w:bookmarkStart w:id="117" w:name="_Hlt26668983"/>
      <w:r/>
      <w:bookmarkEnd w:id="117"/>
      <w:r/>
      <w:bookmarkStart w:id="118" w:name="_Hlt26670482"/>
      <w:r/>
      <w:bookmarkEnd w:id="118"/>
      <w:r/>
      <w:bookmarkStart w:id="119" w:name="_Hlt26670425"/>
      <w:r/>
      <w:bookmarkEnd w:id="119"/>
      <w:r/>
      <w:bookmarkStart w:id="120" w:name="_Hlt26954844"/>
      <w:r/>
      <w:bookmarkEnd w:id="120"/>
      <w:r/>
      <w:bookmarkStart w:id="121" w:name="_Hlt26954842"/>
      <w:r/>
      <w:bookmarkEnd w:id="121"/>
      <w:r/>
      <w:bookmarkStart w:id="122" w:name="_Hlt26954731"/>
      <w:r/>
      <w:bookmarkEnd w:id="122"/>
      <w:r/>
      <w:bookmarkStart w:id="123" w:name="_Hlt26670403"/>
      <w:r/>
      <w:bookmarkEnd w:id="123"/>
      <w:r/>
      <w:bookmarkStart w:id="124" w:name="_Hlt26670486"/>
      <w:r/>
      <w:bookmarkEnd w:id="124"/>
      <w:r/>
      <w:bookmarkStart w:id="125" w:name="_Hlt26954846"/>
      <w:r/>
      <w:bookmarkEnd w:id="125"/>
      <w:r/>
      <w:bookmarkStart w:id="126" w:name="_Hlt26954848"/>
      <w:r/>
      <w:bookmarkEnd w:id="126"/>
      <w:r>
        <w:rPr>
          <w:rFonts w:hint="eastAsia"/>
          <w:b w:val="0"/>
          <w:bCs w:val="0"/>
        </w:rPr>
        <w:t xml:space="preserve">13、技术要求响应及偏离表、商务要求响应及偏离表</w:t>
      </w:r>
      <w:r>
        <w:rPr>
          <w:rFonts w:hint="eastAsia"/>
          <w:b w:val="0"/>
          <w:bCs w:val="0"/>
        </w:rPr>
      </w:r>
      <w:r/>
    </w:p>
    <w:p>
      <w:pPr>
        <w:pStyle w:val="915"/>
        <w:ind w:firstLine="480"/>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5"/>
        <w:ind w:firstLine="480"/>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9"/>
        <w:ind w:firstLine="420"/>
        <w:spacing w:before="0" w:after="0" w:line="240" w:lineRule="auto"/>
        <w:rPr>
          <w:rFonts w:hint="eastAsia"/>
          <w:b w:val="0"/>
          <w:bCs w:val="0"/>
        </w:rPr>
      </w:pPr>
      <w:r/>
      <w:bookmarkStart w:id="127" w:name="_Toc49090510"/>
      <w:r/>
      <w:bookmarkStart w:id="128" w:name="_Toc14577359"/>
      <w:r>
        <w:rPr>
          <w:rFonts w:hint="eastAsia"/>
          <w:b w:val="0"/>
          <w:bCs w:val="0"/>
        </w:rPr>
        <w:t xml:space="preserve">14、投标函和开标一览表</w:t>
      </w:r>
      <w:r>
        <w:rPr>
          <w:rFonts w:hint="eastAsia"/>
          <w:b w:val="0"/>
          <w:bCs w:val="0"/>
        </w:rPr>
      </w:r>
      <w:r/>
    </w:p>
    <w:p>
      <w:pPr>
        <w:pStyle w:val="915"/>
        <w:ind w:firstLine="480"/>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5"/>
        <w:ind w:firstLine="480"/>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9"/>
        <w:ind w:firstLine="420"/>
        <w:spacing w:before="0" w:after="0" w:line="240" w:lineRule="auto"/>
        <w:rPr>
          <w:rFonts w:hint="eastAsia"/>
          <w:b w:val="0"/>
          <w:bCs w:val="0"/>
        </w:rPr>
      </w:pPr>
      <w:r/>
      <w:bookmarkEnd w:id="127"/>
      <w:r/>
      <w:bookmarkEnd w:id="128"/>
      <w:r/>
      <w:bookmarkStart w:id="129" w:name="_Hlt26670489"/>
      <w:r/>
      <w:bookmarkEnd w:id="129"/>
      <w:r/>
      <w:bookmarkStart w:id="130" w:name="_Hlt26954850"/>
      <w:r/>
      <w:bookmarkEnd w:id="130"/>
      <w:r/>
      <w:bookmarkStart w:id="131" w:name="_Hlt26954734"/>
      <w:r/>
      <w:bookmarkEnd w:id="131"/>
      <w:r/>
      <w:bookmarkStart w:id="132" w:name="_Toc14577360"/>
      <w:r/>
      <w:bookmarkStart w:id="133" w:name="_Toc49090511"/>
      <w:r>
        <w:rPr>
          <w:rFonts w:hint="eastAsia"/>
          <w:b w:val="0"/>
          <w:bCs w:val="0"/>
        </w:rPr>
        <w:t xml:space="preserve">15、投标有效期</w:t>
      </w:r>
      <w:bookmarkEnd w:id="132"/>
      <w:r/>
      <w:bookmarkEnd w:id="133"/>
      <w:r>
        <w:rPr>
          <w:rFonts w:hint="eastAsia"/>
          <w:b w:val="0"/>
          <w:bCs w:val="0"/>
        </w:rPr>
      </w:r>
      <w:r/>
    </w:p>
    <w:p>
      <w:pPr>
        <w:pStyle w:val="915"/>
        <w:ind w:firstLine="480"/>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9"/>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15"/>
        <w:ind w:firstLine="480"/>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8"/>
        <w:ind w:firstLine="482"/>
        <w:spacing w:before="0" w:after="0" w:line="240" w:lineRule="auto"/>
        <w:rPr>
          <w:rFonts w:hint="eastAsia"/>
        </w:rPr>
      </w:pPr>
      <w:r/>
      <w:bookmarkStart w:id="134" w:name="_Hlt26954852"/>
      <w:r/>
      <w:bookmarkEnd w:id="134"/>
      <w:r/>
      <w:bookmarkStart w:id="135" w:name="_Hlt26954739"/>
      <w:r/>
      <w:bookmarkEnd w:id="135"/>
      <w:r/>
      <w:bookmarkStart w:id="136" w:name="_Toc16938540"/>
      <w:r/>
      <w:bookmarkStart w:id="137" w:name="_Toc513029224"/>
      <w:r/>
      <w:bookmarkStart w:id="138" w:name="_Toc20823296"/>
      <w:r/>
      <w:bookmarkStart w:id="139" w:name="_Toc120614217"/>
      <w:r>
        <w:rPr>
          <w:rFonts w:hint="eastAsia"/>
        </w:rPr>
        <w:t xml:space="preserve">四、投标文件的递交</w:t>
      </w:r>
      <w:bookmarkEnd w:id="136"/>
      <w:r/>
      <w:bookmarkEnd w:id="137"/>
      <w:r/>
      <w:bookmarkEnd w:id="138"/>
      <w:r/>
      <w:bookmarkEnd w:id="139"/>
      <w:r>
        <w:rPr>
          <w:rFonts w:hint="eastAsia"/>
        </w:rPr>
      </w:r>
      <w:r/>
    </w:p>
    <w:p>
      <w:pPr>
        <w:pStyle w:val="919"/>
        <w:ind w:firstLine="560"/>
        <w:spacing w:before="0" w:after="0" w:line="240" w:lineRule="auto"/>
        <w:rPr>
          <w:rFonts w:hint="eastAsia" w:ascii="黑体"/>
          <w:b w:val="0"/>
          <w:bCs w:val="0"/>
        </w:rPr>
      </w:pPr>
      <w:r/>
      <w:bookmarkStart w:id="140" w:name="_Toc462564084"/>
      <w:r/>
      <w:bookmarkStart w:id="141" w:name="_Toc20823297"/>
      <w:r/>
      <w:bookmarkStart w:id="142" w:name="_Toc16938541"/>
      <w:r/>
      <w:bookmarkStart w:id="143" w:name="_Toc513029225"/>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rPr>
          <w:rFonts w:hint="eastAsia" w:ascii="黑体"/>
          <w:b w:val="0"/>
          <w:bCs w:val="0"/>
        </w:rPr>
      </w:r>
      <w:r/>
    </w:p>
    <w:p>
      <w:pPr>
        <w:pStyle w:val="915"/>
        <w:ind w:firstLine="480"/>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1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20823298"/>
      <w:r/>
      <w:bookmarkStart w:id="145" w:name="_Toc16938542"/>
      <w:r/>
      <w:bookmarkStart w:id="146" w:name="_Toc513029226"/>
      <w:r>
        <w:rPr>
          <w:rFonts w:hint="eastAsia" w:ascii="宋体" w:hAnsi="宋体"/>
          <w:bCs/>
          <w:sz w:val="24"/>
        </w:rPr>
      </w:r>
      <w:r/>
    </w:p>
    <w:p>
      <w:pPr>
        <w:pStyle w:val="919"/>
        <w:ind w:firstLine="420"/>
        <w:spacing w:before="0" w:after="0" w:line="240" w:lineRule="auto"/>
        <w:rPr>
          <w:rFonts w:hint="eastAsia"/>
          <w:b w:val="0"/>
        </w:rPr>
      </w:pPr>
      <w:r>
        <w:rPr>
          <w:rFonts w:hint="eastAsia"/>
          <w:b w:val="0"/>
        </w:rPr>
        <w:t xml:space="preserve">18、投标截止</w:t>
      </w:r>
      <w:bookmarkEnd w:id="144"/>
      <w:r/>
      <w:bookmarkEnd w:id="145"/>
      <w:r/>
      <w:bookmarkEnd w:id="146"/>
      <w:r>
        <w:rPr>
          <w:rFonts w:hint="eastAsia"/>
          <w:b w:val="0"/>
        </w:rPr>
        <w:t xml:space="preserve">时间</w:t>
      </w:r>
      <w:r>
        <w:rPr>
          <w:rFonts w:hint="eastAsia"/>
          <w:b w:val="0"/>
        </w:rPr>
      </w:r>
      <w:r/>
    </w:p>
    <w:p>
      <w:pPr>
        <w:pStyle w:val="915"/>
        <w:ind w:firstLine="480"/>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5"/>
        <w:ind w:firstLine="480"/>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15"/>
        <w:ind w:firstLine="480"/>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9"/>
        <w:ind w:firstLine="420"/>
        <w:spacing w:before="0" w:after="0" w:line="240" w:lineRule="auto"/>
        <w:rPr>
          <w:rFonts w:hint="eastAsia"/>
          <w:b w:val="0"/>
          <w:bCs w:val="0"/>
        </w:rPr>
      </w:pPr>
      <w:r/>
      <w:bookmarkStart w:id="147" w:name="_Toc20823299"/>
      <w:r/>
      <w:bookmarkStart w:id="148" w:name="_Toc16938543"/>
      <w:r/>
      <w:bookmarkStart w:id="149" w:name="_Toc513029227"/>
      <w:r>
        <w:rPr>
          <w:rFonts w:hint="eastAsia"/>
          <w:b w:val="0"/>
          <w:bCs w:val="0"/>
        </w:rPr>
        <w:t xml:space="preserve">19、投标文件</w:t>
      </w:r>
      <w:bookmarkEnd w:id="147"/>
      <w:r/>
      <w:bookmarkEnd w:id="148"/>
      <w:r/>
      <w:bookmarkEnd w:id="149"/>
      <w:r>
        <w:rPr>
          <w:rFonts w:hint="eastAsia"/>
          <w:b w:val="0"/>
          <w:bCs w:val="0"/>
        </w:rPr>
        <w:t xml:space="preserve">的拒收</w:t>
      </w:r>
      <w:r>
        <w:rPr>
          <w:rFonts w:hint="eastAsia"/>
          <w:b w:val="0"/>
          <w:bCs w:val="0"/>
        </w:rPr>
      </w:r>
      <w:r/>
    </w:p>
    <w:p>
      <w:pPr>
        <w:pStyle w:val="915"/>
        <w:ind w:firstLine="480"/>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9"/>
        <w:ind w:firstLine="420"/>
        <w:spacing w:before="0" w:after="0" w:line="240" w:lineRule="auto"/>
        <w:rPr>
          <w:rFonts w:hint="eastAsia"/>
          <w:b w:val="0"/>
          <w:bCs w:val="0"/>
        </w:rPr>
      </w:pPr>
      <w:r/>
      <w:bookmarkStart w:id="150" w:name="_Toc16938544"/>
      <w:r/>
      <w:bookmarkStart w:id="151" w:name="_Toc20823300"/>
      <w:r/>
      <w:bookmarkStart w:id="152" w:name="_Toc513029228"/>
      <w:r>
        <w:rPr>
          <w:rFonts w:hint="eastAsia"/>
          <w:b w:val="0"/>
          <w:bCs w:val="0"/>
        </w:rPr>
        <w:t xml:space="preserve">20、投标文件的撤回和修改</w:t>
      </w:r>
      <w:bookmarkEnd w:id="150"/>
      <w:r/>
      <w:bookmarkEnd w:id="151"/>
      <w:r/>
      <w:bookmarkEnd w:id="152"/>
      <w:r>
        <w:rPr>
          <w:rFonts w:hint="eastAsia"/>
          <w:b w:val="0"/>
          <w:bCs w:val="0"/>
        </w:rPr>
      </w:r>
      <w:r/>
    </w:p>
    <w:p>
      <w:pPr>
        <w:pStyle w:val="915"/>
        <w:ind w:firstLine="480"/>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5"/>
        <w:ind w:firstLine="480"/>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15"/>
        <w:ind w:firstLine="480"/>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5"/>
        <w:ind w:firstLine="480"/>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5"/>
        <w:ind w:firstLine="480"/>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5"/>
        <w:ind w:firstLine="480"/>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5"/>
        <w:ind w:firstLine="480"/>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8"/>
        <w:ind w:firstLine="482"/>
        <w:spacing w:before="0" w:after="0" w:line="240" w:lineRule="auto"/>
        <w:rPr>
          <w:rFonts w:hint="eastAsia"/>
        </w:rPr>
      </w:pPr>
      <w:r/>
      <w:bookmarkStart w:id="153" w:name="_Toc513029229"/>
      <w:r/>
      <w:bookmarkStart w:id="154" w:name="_Toc16938545"/>
      <w:r/>
      <w:bookmarkStart w:id="155" w:name="_Toc120614218"/>
      <w:r/>
      <w:bookmarkStart w:id="156" w:name="_Toc20823301"/>
      <w:r>
        <w:rPr>
          <w:rFonts w:hint="eastAsia"/>
        </w:rPr>
        <w:t xml:space="preserve">五、开标与评标</w:t>
      </w:r>
      <w:bookmarkEnd w:id="153"/>
      <w:r/>
      <w:bookmarkEnd w:id="154"/>
      <w:r/>
      <w:bookmarkEnd w:id="155"/>
      <w:r/>
      <w:bookmarkEnd w:id="156"/>
      <w:r>
        <w:rPr>
          <w:rFonts w:hint="eastAsia"/>
        </w:rPr>
      </w:r>
      <w:r/>
    </w:p>
    <w:p>
      <w:pPr>
        <w:pStyle w:val="919"/>
        <w:ind w:firstLine="420"/>
        <w:spacing w:before="0" w:after="0" w:line="240" w:lineRule="auto"/>
        <w:rPr>
          <w:rFonts w:hint="eastAsia"/>
          <w:b w:val="0"/>
          <w:bCs w:val="0"/>
        </w:rPr>
      </w:pPr>
      <w:r/>
      <w:bookmarkStart w:id="157" w:name="_Toc16938546"/>
      <w:r/>
      <w:bookmarkStart w:id="158" w:name="_Toc513029230"/>
      <w:r/>
      <w:bookmarkStart w:id="159" w:name="_Toc20823302"/>
      <w:r>
        <w:rPr>
          <w:rFonts w:hint="eastAsia"/>
          <w:b w:val="0"/>
          <w:bCs w:val="0"/>
        </w:rPr>
        <w:t xml:space="preserve">21、开标</w:t>
      </w:r>
      <w:bookmarkEnd w:id="157"/>
      <w:r/>
      <w:bookmarkEnd w:id="158"/>
      <w:r/>
      <w:bookmarkEnd w:id="159"/>
      <w:r>
        <w:rPr>
          <w:rFonts w:hint="eastAsia"/>
          <w:b w:val="0"/>
          <w:bCs w:val="0"/>
        </w:rPr>
      </w:r>
      <w:r/>
    </w:p>
    <w:p>
      <w:pPr>
        <w:pStyle w:val="91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5"/>
        <w:ind w:firstLine="480"/>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9"/>
        <w:ind w:firstLine="420"/>
        <w:spacing w:before="0" w:after="0" w:line="240" w:lineRule="auto"/>
        <w:rPr>
          <w:rFonts w:hint="eastAsia"/>
          <w:b w:val="0"/>
          <w:bCs w:val="0"/>
        </w:rPr>
      </w:pPr>
      <w:r/>
      <w:bookmarkStart w:id="160" w:name="_Toc20823303"/>
      <w:r/>
      <w:bookmarkStart w:id="161" w:name="_Toc513029231"/>
      <w:r/>
      <w:bookmarkStart w:id="162" w:name="_Toc16938547"/>
      <w:r>
        <w:rPr>
          <w:rFonts w:hint="eastAsia"/>
          <w:b w:val="0"/>
          <w:bCs w:val="0"/>
        </w:rPr>
        <w:t xml:space="preserve">22、评标委员会</w:t>
      </w:r>
      <w:r>
        <w:rPr>
          <w:rFonts w:hint="eastAsia"/>
          <w:b w:val="0"/>
          <w:bCs w:val="0"/>
        </w:rPr>
      </w:r>
      <w:r/>
    </w:p>
    <w:p>
      <w:pPr>
        <w:pStyle w:val="915"/>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5"/>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15"/>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919"/>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15"/>
        <w:ind w:firstLine="480"/>
        <w:rPr>
          <w:rFonts w:hint="eastAsia" w:ascii="宋体" w:hAnsi="宋体"/>
          <w:bCs/>
          <w:sz w:val="24"/>
        </w:rPr>
      </w:pPr>
      <w:r/>
      <w:bookmarkEnd w:id="160"/>
      <w:r/>
      <w:bookmarkEnd w:id="161"/>
      <w:r/>
      <w:bookmarkEnd w:id="16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5"/>
        <w:ind w:firstLine="480"/>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9"/>
        <w:ind w:firstLine="420"/>
        <w:spacing w:before="0" w:after="0" w:line="240" w:lineRule="auto"/>
        <w:rPr>
          <w:rFonts w:hint="eastAsia"/>
          <w:b w:val="0"/>
          <w:bCs w:val="0"/>
        </w:rPr>
      </w:pPr>
      <w:r/>
      <w:bookmarkStart w:id="163" w:name="_Toc513029232"/>
      <w:r/>
      <w:bookmarkStart w:id="164" w:name="_Toc20823304"/>
      <w:r/>
      <w:bookmarkStart w:id="165" w:name="_Toc16938548"/>
      <w:r>
        <w:rPr>
          <w:rFonts w:hint="eastAsia"/>
          <w:b w:val="0"/>
          <w:bCs w:val="0"/>
        </w:rPr>
        <w:t xml:space="preserve">24、投标文件的澄清</w:t>
      </w:r>
      <w:bookmarkEnd w:id="163"/>
      <w:r/>
      <w:bookmarkEnd w:id="164"/>
      <w:r/>
      <w:bookmarkEnd w:id="165"/>
      <w:r>
        <w:rPr>
          <w:rFonts w:hint="eastAsia"/>
          <w:b w:val="0"/>
          <w:bCs w:val="0"/>
        </w:rPr>
      </w:r>
      <w:r/>
    </w:p>
    <w:p>
      <w:pPr>
        <w:pStyle w:val="915"/>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5"/>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9"/>
        <w:ind w:firstLine="420"/>
        <w:spacing w:before="0" w:after="0" w:line="240" w:lineRule="auto"/>
        <w:rPr>
          <w:rFonts w:hint="eastAsia"/>
          <w:b w:val="0"/>
          <w:bCs w:val="0"/>
        </w:rPr>
      </w:pPr>
      <w:r/>
      <w:bookmarkStart w:id="166" w:name="_Toc16938549"/>
      <w:r/>
      <w:bookmarkStart w:id="167" w:name="_Toc20823305"/>
      <w:r/>
      <w:bookmarkStart w:id="168" w:name="_Toc513029233"/>
      <w:r>
        <w:rPr>
          <w:rFonts w:hint="eastAsia"/>
          <w:b w:val="0"/>
          <w:bCs w:val="0"/>
        </w:rPr>
        <w:t xml:space="preserve">25、对投标文件的初审</w:t>
      </w:r>
      <w:bookmarkEnd w:id="166"/>
      <w:r/>
      <w:bookmarkEnd w:id="167"/>
      <w:r/>
      <w:bookmarkEnd w:id="168"/>
      <w:r>
        <w:rPr>
          <w:rFonts w:hint="eastAsia"/>
          <w:b w:val="0"/>
          <w:bCs w:val="0"/>
        </w:rPr>
      </w:r>
      <w:r/>
    </w:p>
    <w:p>
      <w:pPr>
        <w:pStyle w:val="915"/>
        <w:ind w:firstLine="480"/>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5"/>
        <w:ind w:firstLine="480"/>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5"/>
        <w:ind w:firstLine="480"/>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5"/>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5"/>
        <w:ind w:firstLine="480"/>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5"/>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5"/>
        <w:ind w:firstLine="480"/>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5"/>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5"/>
        <w:ind w:firstLine="480"/>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5"/>
        <w:ind w:firstLine="480"/>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5"/>
        <w:ind w:firstLine="420"/>
        <w:rPr>
          <w:rFonts w:hint="eastAsia" w:ascii="宋体" w:hAnsi="宋体"/>
          <w:sz w:val="24"/>
        </w:rPr>
      </w:pPr>
      <w:r/>
      <w:bookmarkStart w:id="169" w:name="_Toc16938550"/>
      <w:r/>
      <w:bookmarkStart w:id="170" w:name="_Toc20823306"/>
      <w:r/>
      <w:bookmarkStart w:id="171"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9"/>
        <w:ind w:firstLine="420"/>
        <w:spacing w:before="0" w:after="0" w:line="240" w:lineRule="auto"/>
        <w:rPr>
          <w:rFonts w:hint="eastAsia"/>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rPr>
          <w:rFonts w:hint="eastAsia"/>
          <w:b w:val="0"/>
          <w:bCs w:val="0"/>
        </w:rPr>
      </w:r>
      <w:r/>
    </w:p>
    <w:p>
      <w:pPr>
        <w:pStyle w:val="915"/>
        <w:ind w:left="479"/>
        <w:rPr>
          <w:rFonts w:hint="eastAsia" w:ascii="宋体" w:hAnsi="宋体"/>
          <w:bCs/>
          <w:sz w:val="24"/>
        </w:rPr>
      </w:pPr>
      <w:r/>
      <w:bookmarkStart w:id="172" w:name="_Toc16938551"/>
      <w:r/>
      <w:bookmarkStart w:id="173" w:name="_Toc20823307"/>
      <w:r/>
      <w:bookmarkStart w:id="174" w:name="_Toc513029235"/>
      <w:r>
        <w:rPr>
          <w:rFonts w:hint="eastAsia" w:ascii="宋体" w:hAnsi="宋体"/>
          <w:bCs/>
          <w:sz w:val="24"/>
        </w:rPr>
        <w:t xml:space="preserve">26.1无效投标条款</w:t>
      </w:r>
      <w:r>
        <w:rPr>
          <w:rFonts w:hint="eastAsia" w:ascii="宋体" w:hAnsi="宋体"/>
          <w:bCs/>
          <w:sz w:val="24"/>
        </w:rPr>
      </w:r>
      <w:r/>
    </w:p>
    <w:p>
      <w:pPr>
        <w:pStyle w:val="915"/>
        <w:ind w:firstLine="480"/>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5"/>
        <w:ind w:firstLine="480"/>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5"/>
        <w:ind w:left="479"/>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5"/>
        <w:ind w:left="479"/>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5"/>
        <w:ind w:firstLine="480"/>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5"/>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5"/>
        <w:ind w:firstLine="480"/>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15"/>
        <w:ind w:left="479"/>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5"/>
        <w:ind w:left="479"/>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15"/>
        <w:ind w:left="479"/>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5"/>
        <w:ind w:left="479"/>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5"/>
        <w:ind w:left="479"/>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5"/>
        <w:ind w:left="479"/>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8"/>
        <w:ind w:firstLine="482"/>
        <w:spacing w:before="0" w:after="0" w:line="240" w:lineRule="auto"/>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919"/>
        <w:ind w:firstLine="600"/>
        <w:spacing w:before="0" w:after="0" w:line="240" w:lineRule="auto"/>
        <w:rPr>
          <w:rFonts w:hint="eastAsia" w:ascii="黑体" w:hAnsi="宋体"/>
          <w:b w:val="0"/>
          <w:sz w:val="30"/>
          <w:szCs w:val="30"/>
        </w:rPr>
      </w:pPr>
      <w:r/>
      <w:bookmarkStart w:id="176" w:name="_Toc513029238"/>
      <w:r/>
      <w:bookmarkStart w:id="177" w:name="_Toc16938554"/>
      <w:r/>
      <w:bookmarkStart w:id="178" w:name="_Toc20823310"/>
      <w:r>
        <w:rPr>
          <w:rFonts w:hint="eastAsia" w:ascii="黑体" w:hAnsi="宋体"/>
          <w:b w:val="0"/>
          <w:sz w:val="30"/>
          <w:szCs w:val="30"/>
        </w:rPr>
        <w:t xml:space="preserve">27、</w:t>
      </w:r>
      <w:bookmarkEnd w:id="176"/>
      <w:r>
        <w:rPr>
          <w:rFonts w:hint="eastAsia" w:ascii="黑体" w:hAnsi="宋体"/>
          <w:b w:val="0"/>
          <w:sz w:val="30"/>
          <w:szCs w:val="30"/>
        </w:rPr>
        <w:t xml:space="preserve">确定</w:t>
      </w:r>
      <w:bookmarkEnd w:id="177"/>
      <w:r/>
      <w:bookmarkEnd w:id="178"/>
      <w:r>
        <w:rPr>
          <w:rFonts w:hint="eastAsia" w:ascii="黑体" w:hAnsi="宋体"/>
          <w:b w:val="0"/>
          <w:sz w:val="30"/>
          <w:szCs w:val="30"/>
        </w:rPr>
        <w:t xml:space="preserve">中标单位</w:t>
      </w:r>
      <w:r>
        <w:rPr>
          <w:rFonts w:hint="eastAsia" w:ascii="黑体" w:hAnsi="宋体"/>
          <w:b w:val="0"/>
          <w:sz w:val="30"/>
          <w:szCs w:val="30"/>
        </w:rPr>
      </w:r>
      <w:r/>
    </w:p>
    <w:p>
      <w:pPr>
        <w:pStyle w:val="915"/>
        <w:ind w:firstLine="480"/>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5"/>
        <w:ind w:firstLine="480"/>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15"/>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5"/>
        <w:ind w:firstLine="480"/>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9"/>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9"/>
      <w:r>
        <w:rPr>
          <w:rFonts w:hint="eastAsia" w:ascii="黑体" w:hAnsi="宋体"/>
          <w:b w:val="0"/>
          <w:sz w:val="30"/>
          <w:szCs w:val="30"/>
        </w:rPr>
      </w:r>
      <w:r/>
    </w:p>
    <w:p>
      <w:pPr>
        <w:pStyle w:val="915"/>
        <w:ind w:firstLine="480"/>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15"/>
        <w:ind w:firstLine="480"/>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5"/>
        <w:ind w:firstLine="480"/>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5"/>
        <w:ind w:firstLine="480"/>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5"/>
        <w:ind w:firstLine="480"/>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5"/>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5"/>
        <w:ind w:firstLine="480"/>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5"/>
        <w:ind w:firstLine="468"/>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9"/>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rPr>
          <w:rFonts w:hint="eastAsia" w:ascii="黑体" w:hAnsi="宋体"/>
          <w:b w:val="0"/>
          <w:sz w:val="30"/>
          <w:szCs w:val="30"/>
        </w:rPr>
      </w:r>
      <w:r/>
    </w:p>
    <w:p>
      <w:pPr>
        <w:pStyle w:val="915"/>
        <w:ind w:firstLine="600"/>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5"/>
        <w:ind w:firstLine="600"/>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8"/>
        <w:spacing w:before="0" w:after="0" w:line="240" w:lineRule="auto"/>
        <w:rPr>
          <w:rFonts w:hint="eastAsia"/>
        </w:rPr>
      </w:pPr>
      <w:r/>
      <w:bookmarkStart w:id="180" w:name="_Toc120614220"/>
      <w:r/>
      <w:bookmarkStart w:id="181" w:name="_Toc16938552"/>
      <w:r/>
      <w:bookmarkStart w:id="182" w:name="_Toc513029236"/>
      <w:r/>
      <w:bookmarkStart w:id="183" w:name="_Toc20823308"/>
      <w:r>
        <w:rPr>
          <w:rFonts w:hint="eastAsia"/>
        </w:rPr>
        <w:t xml:space="preserve">七、授予合同</w:t>
      </w:r>
      <w:bookmarkEnd w:id="180"/>
      <w:r>
        <w:rPr>
          <w:rFonts w:hint="eastAsia"/>
        </w:rPr>
      </w:r>
      <w:r/>
    </w:p>
    <w:p>
      <w:pPr>
        <w:pStyle w:val="919"/>
        <w:ind w:firstLine="600"/>
        <w:spacing w:before="0" w:after="0" w:line="240" w:lineRule="auto"/>
        <w:rPr>
          <w:rFonts w:hint="eastAsia" w:ascii="黑体" w:hAnsi="宋体"/>
          <w:b w:val="0"/>
          <w:sz w:val="30"/>
          <w:szCs w:val="30"/>
        </w:rPr>
      </w:pPr>
      <w:r/>
      <w:bookmarkEnd w:id="181"/>
      <w:r/>
      <w:bookmarkEnd w:id="182"/>
      <w:r/>
      <w:bookmarkEnd w:id="183"/>
      <w:r/>
      <w:bookmarkStart w:id="184" w:name="_Toc16938553"/>
      <w:r/>
      <w:bookmarkStart w:id="185" w:name="_Toc20823309"/>
      <w:r/>
      <w:bookmarkStart w:id="186" w:name="_Toc513029237"/>
      <w:r>
        <w:rPr>
          <w:rFonts w:hint="eastAsia" w:ascii="黑体" w:hAnsi="宋体"/>
          <w:b w:val="0"/>
          <w:sz w:val="30"/>
          <w:szCs w:val="30"/>
        </w:rPr>
        <w:t xml:space="preserve">30. 签订合同</w:t>
      </w:r>
      <w:r>
        <w:rPr>
          <w:rFonts w:hint="eastAsia" w:ascii="黑体" w:hAnsi="宋体"/>
          <w:b w:val="0"/>
          <w:sz w:val="30"/>
          <w:szCs w:val="30"/>
        </w:rPr>
      </w:r>
      <w:r/>
    </w:p>
    <w:p>
      <w:pPr>
        <w:pStyle w:val="915"/>
        <w:ind w:firstLine="600"/>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5"/>
        <w:ind w:firstLine="600"/>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5"/>
        <w:ind w:firstLine="600"/>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9"/>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rPr>
          <w:rFonts w:hint="eastAsia" w:ascii="黑体" w:hAnsi="宋体"/>
          <w:b w:val="0"/>
          <w:sz w:val="30"/>
          <w:szCs w:val="30"/>
        </w:rPr>
      </w:r>
      <w:r/>
    </w:p>
    <w:p>
      <w:pPr>
        <w:pStyle w:val="915"/>
        <w:ind w:firstLine="480"/>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9"/>
        <w:ind w:firstLine="600"/>
        <w:spacing w:before="0" w:after="0" w:line="240" w:lineRule="auto"/>
        <w:rPr>
          <w:rFonts w:hint="eastAsia" w:ascii="黑体" w:hAnsi="宋体"/>
          <w:b w:val="0"/>
          <w:sz w:val="30"/>
          <w:szCs w:val="30"/>
        </w:rPr>
      </w:pPr>
      <w:r/>
      <w:bookmarkEnd w:id="184"/>
      <w:r/>
      <w:bookmarkEnd w:id="185"/>
      <w:r/>
      <w:bookmarkEnd w:id="186"/>
      <w:r/>
      <w:bookmarkStart w:id="187" w:name="_Toc120614221"/>
      <w:r/>
      <w:bookmarkStart w:id="188" w:name="_Toc479757207"/>
      <w:r/>
      <w:bookmarkStart w:id="189" w:name="_Toc20823314"/>
      <w:r/>
      <w:bookmarkStart w:id="190" w:name="_Toc16938558"/>
      <w:r/>
      <w:bookmarkStart w:id="191" w:name="_Toc513029242"/>
      <w:r>
        <w:rPr>
          <w:rFonts w:hint="eastAsia" w:ascii="黑体" w:hAnsi="宋体"/>
          <w:b w:val="0"/>
          <w:sz w:val="30"/>
          <w:szCs w:val="30"/>
        </w:rPr>
        <w:t xml:space="preserve">32、需要执行的政府采购政策（包括但不限于）</w:t>
      </w:r>
      <w:r>
        <w:rPr>
          <w:rFonts w:hint="eastAsia" w:ascii="黑体" w:hAnsi="宋体"/>
          <w:b w:val="0"/>
          <w:sz w:val="30"/>
          <w:szCs w:val="30"/>
        </w:rPr>
      </w:r>
      <w:r/>
    </w:p>
    <w:p>
      <w:pPr>
        <w:pStyle w:val="915"/>
        <w:ind w:firstLine="482"/>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5"/>
        <w:ind w:firstLine="480"/>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15"/>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15"/>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15"/>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15"/>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15"/>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15"/>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15"/>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5"/>
        <w:ind w:firstLine="482"/>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15"/>
        <w:ind w:firstLine="480"/>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15"/>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15"/>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15"/>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15"/>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15"/>
        <w:ind w:firstLine="482"/>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15"/>
        <w:ind w:firstLine="480"/>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15"/>
        <w:ind w:firstLine="482"/>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15"/>
        <w:ind w:firstLine="480"/>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5"/>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5"/>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5"/>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5"/>
        <w:ind w:firstLine="480"/>
        <w:rPr>
          <w:rFonts w:ascii="宋体" w:hAnsi="宋体"/>
          <w:sz w:val="24"/>
          <w:szCs w:val="24"/>
        </w:rPr>
      </w:pPr>
      <w:r>
        <w:rPr>
          <w:rFonts w:ascii="宋体" w:hAnsi="宋体"/>
          <w:sz w:val="24"/>
          <w:szCs w:val="24"/>
        </w:r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5"/>
      </w:pPr>
      <w:r/>
      <w:r/>
    </w:p>
    <w:p>
      <w:pPr>
        <w:pStyle w:val="916"/>
        <w:rPr>
          <w:rFonts w:hint="eastAsia" w:ascii="黑体" w:eastAsia="黑体"/>
          <w:bCs/>
          <w:sz w:val="44"/>
        </w:rPr>
      </w:pPr>
      <w:r/>
      <w:bookmarkStart w:id="192" w:name="_Toc24306_WPSOffice_Level1"/>
      <w:r>
        <w:rPr>
          <w:rFonts w:hint="eastAsia" w:ascii="黑体" w:eastAsia="黑体"/>
          <w:bCs/>
          <w:sz w:val="44"/>
        </w:rPr>
        <w:t xml:space="preserve">第三章  合同</w:t>
      </w:r>
      <w:bookmarkEnd w:id="187"/>
      <w:r/>
      <w:bookmarkEnd w:id="188"/>
      <w:r/>
      <w:bookmarkEnd w:id="189"/>
      <w:r/>
      <w:bookmarkEnd w:id="190"/>
      <w:r/>
      <w:bookmarkEnd w:id="191"/>
      <w:r>
        <w:rPr>
          <w:rFonts w:hint="eastAsia" w:ascii="黑体" w:eastAsia="黑体"/>
          <w:bCs/>
          <w:sz w:val="44"/>
        </w:rPr>
        <w:t xml:space="preserve">文本</w:t>
      </w:r>
      <w:bookmarkEnd w:id="192"/>
      <w:r>
        <w:rPr>
          <w:rFonts w:hint="eastAsia" w:ascii="黑体" w:eastAsia="黑体"/>
          <w:bCs/>
          <w:sz w:val="44"/>
        </w:rPr>
      </w:r>
      <w:r/>
    </w:p>
    <w:p>
      <w:pPr>
        <w:pStyle w:val="915"/>
        <w:ind w:firstLine="480"/>
        <w:rPr>
          <w:rFonts w:hint="eastAsia" w:ascii="宋体" w:hAnsi="宋体"/>
          <w:bCs/>
          <w:sz w:val="24"/>
        </w:rPr>
      </w:pPr>
      <w:r/>
      <w:bookmarkStart w:id="193" w:name="_Toc513029243"/>
      <w:r/>
      <w:bookmarkStart w:id="194" w:name="_Toc16938559"/>
      <w:r/>
      <w:bookmarkStart w:id="195"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15"/>
        <w:jc w:val="center"/>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73"/>
        <w:rPr>
          <w:rFonts w:hAnsi="宋体"/>
          <w:sz w:val="24"/>
          <w:szCs w:val="24"/>
        </w:rPr>
      </w:pPr>
      <w:r>
        <w:rPr>
          <w:rFonts w:hAnsi="宋体"/>
          <w:sz w:val="24"/>
          <w:szCs w:val="24"/>
        </w:rPr>
        <w:t xml:space="preserve">项目名称：                                       项目编号：</w:t>
      </w:r>
      <w:r>
        <w:rPr>
          <w:rFonts w:hAnsi="宋体"/>
          <w:sz w:val="24"/>
          <w:szCs w:val="24"/>
        </w:rPr>
      </w:r>
      <w:r/>
    </w:p>
    <w:p>
      <w:pPr>
        <w:pStyle w:val="973"/>
        <w:rPr>
          <w:rFonts w:hAnsi="宋体"/>
          <w:sz w:val="24"/>
          <w:szCs w:val="24"/>
        </w:rPr>
      </w:pPr>
      <w:r>
        <w:rPr>
          <w:rFonts w:hAnsi="宋体"/>
          <w:sz w:val="24"/>
          <w:szCs w:val="24"/>
        </w:rPr>
        <w:t xml:space="preserve">甲方：（买方）_________</w:t>
      </w:r>
      <w:r>
        <w:rPr>
          <w:rFonts w:hAnsi="宋体"/>
          <w:sz w:val="24"/>
          <w:szCs w:val="24"/>
        </w:rPr>
      </w:r>
      <w:r/>
    </w:p>
    <w:p>
      <w:pPr>
        <w:pStyle w:val="973"/>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73"/>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73"/>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73"/>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73"/>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73"/>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73"/>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73"/>
        <w:rPr>
          <w:rFonts w:hAnsi="宋体"/>
          <w:sz w:val="24"/>
          <w:szCs w:val="24"/>
        </w:rPr>
      </w:pPr>
      <w:r>
        <w:rPr>
          <w:rFonts w:hint="eastAsia" w:hAnsi="宋体"/>
          <w:sz w:val="24"/>
          <w:szCs w:val="24"/>
        </w:rPr>
        <w:t xml:space="preserve">1.5 履行地点：</w:t>
      </w:r>
      <w:r>
        <w:rPr>
          <w:rFonts w:hAnsi="宋体"/>
          <w:sz w:val="24"/>
          <w:szCs w:val="24"/>
        </w:rPr>
      </w:r>
      <w:r/>
    </w:p>
    <w:p>
      <w:pPr>
        <w:pStyle w:val="973"/>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73"/>
        <w:rPr>
          <w:rFonts w:hAnsi="宋体"/>
          <w:b/>
          <w:sz w:val="24"/>
          <w:szCs w:val="24"/>
        </w:rPr>
      </w:pPr>
      <w:r>
        <w:rPr>
          <w:rFonts w:hAnsi="宋体"/>
          <w:b/>
          <w:sz w:val="24"/>
          <w:szCs w:val="24"/>
        </w:rPr>
        <w:t xml:space="preserve">二、合同金额</w:t>
      </w:r>
      <w:r>
        <w:rPr>
          <w:rFonts w:hAnsi="宋体"/>
          <w:b/>
          <w:sz w:val="24"/>
          <w:szCs w:val="24"/>
        </w:rPr>
      </w:r>
      <w:r/>
    </w:p>
    <w:p>
      <w:pPr>
        <w:pStyle w:val="973"/>
        <w:ind w:left="410" w:hanging="41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73"/>
        <w:rPr>
          <w:rFonts w:hAnsi="宋体"/>
          <w:b/>
          <w:sz w:val="24"/>
          <w:szCs w:val="24"/>
        </w:rPr>
      </w:pPr>
      <w:r>
        <w:rPr>
          <w:rFonts w:hAnsi="宋体"/>
          <w:b/>
          <w:sz w:val="24"/>
          <w:szCs w:val="24"/>
        </w:rPr>
        <w:t xml:space="preserve">三、技术资料</w:t>
      </w:r>
      <w:r>
        <w:rPr>
          <w:rFonts w:hAnsi="宋体"/>
          <w:b/>
          <w:sz w:val="24"/>
          <w:szCs w:val="24"/>
        </w:rPr>
      </w:r>
      <w:r/>
    </w:p>
    <w:p>
      <w:pPr>
        <w:pStyle w:val="973"/>
        <w:ind w:left="410" w:hanging="41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73"/>
        <w:ind w:left="410" w:hanging="41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73"/>
        <w:ind w:left="412" w:hanging="412"/>
        <w:rPr>
          <w:rFonts w:hAnsi="宋体"/>
          <w:b/>
          <w:sz w:val="24"/>
          <w:szCs w:val="24"/>
        </w:rPr>
      </w:pPr>
      <w:r>
        <w:rPr>
          <w:rFonts w:hAnsi="宋体"/>
          <w:b/>
          <w:sz w:val="24"/>
          <w:szCs w:val="24"/>
        </w:rPr>
        <w:t xml:space="preserve">四、知识产权</w:t>
      </w:r>
      <w:r>
        <w:rPr>
          <w:rFonts w:hAnsi="宋体"/>
          <w:b/>
          <w:sz w:val="24"/>
          <w:szCs w:val="24"/>
        </w:rPr>
      </w:r>
      <w:r/>
    </w:p>
    <w:p>
      <w:pPr>
        <w:pStyle w:val="973"/>
        <w:ind w:left="408" w:hanging="408"/>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73"/>
        <w:rPr>
          <w:rFonts w:hAnsi="宋体"/>
          <w:sz w:val="24"/>
          <w:szCs w:val="24"/>
          <w:u w:val="single"/>
        </w:rPr>
      </w:pPr>
      <w:r>
        <w:rPr>
          <w:rFonts w:hAnsi="宋体"/>
          <w:b/>
          <w:sz w:val="24"/>
          <w:szCs w:val="24"/>
        </w:rPr>
        <w:t xml:space="preserve">五、产权担保</w:t>
      </w:r>
      <w:r>
        <w:rPr>
          <w:rFonts w:hAnsi="宋体"/>
          <w:sz w:val="24"/>
          <w:szCs w:val="24"/>
          <w:u w:val="single"/>
        </w:rPr>
      </w:r>
      <w:r/>
    </w:p>
    <w:p>
      <w:pPr>
        <w:pStyle w:val="973"/>
        <w:ind w:left="408" w:hanging="408"/>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73"/>
        <w:ind w:left="410" w:hanging="410"/>
        <w:rPr>
          <w:rFonts w:hAnsi="宋体"/>
          <w:b/>
          <w:sz w:val="24"/>
          <w:szCs w:val="24"/>
        </w:rPr>
      </w:pPr>
      <w:r>
        <w:rPr>
          <w:rFonts w:hAnsi="宋体"/>
          <w:b/>
          <w:sz w:val="24"/>
          <w:szCs w:val="24"/>
        </w:rPr>
        <w:t xml:space="preserve">六、履约保证金</w:t>
      </w:r>
      <w:r>
        <w:rPr>
          <w:rFonts w:hAnsi="宋体"/>
          <w:b/>
          <w:sz w:val="24"/>
          <w:szCs w:val="24"/>
        </w:rPr>
      </w:r>
      <w:r/>
    </w:p>
    <w:p>
      <w:pPr>
        <w:pStyle w:val="973"/>
        <w:ind w:left="408" w:hanging="408"/>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73"/>
        <w:ind w:left="408" w:hanging="408"/>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973"/>
        <w:ind w:left="408" w:hanging="408"/>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73"/>
        <w:ind w:left="408" w:hanging="408"/>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73"/>
        <w:ind w:left="408" w:hanging="408"/>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73"/>
        <w:ind w:left="408" w:hanging="408"/>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73"/>
        <w:ind w:left="408" w:hanging="408"/>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91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1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1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73"/>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15"/>
        <w:rPr>
          <w:rFonts w:ascii="宋体" w:hAnsi="宋体"/>
          <w:b/>
          <w:bCs/>
          <w:sz w:val="24"/>
        </w:rPr>
      </w:pPr>
      <w:r>
        <w:rPr>
          <w:rFonts w:hint="eastAsia" w:ascii="宋体" w:hAnsi="宋体"/>
          <w:sz w:val="24"/>
        </w:rPr>
        <w:t xml:space="preserve">分期付款：合同签订完成后，采购人接受硬件及货物且中标人实施人员进场后10个工作日内付合同总价的50%为预付款；系统上线并完成验收合格后10个工作日内付合同总价的45%；运维服务期结束前10个工作日内支付合同总价的5%。</w:t>
      </w:r>
      <w:r>
        <w:rPr>
          <w:rFonts w:hint="eastAsia" w:ascii="宋体" w:hAnsi="宋体"/>
          <w:b/>
          <w:bCs/>
          <w:sz w:val="24"/>
        </w:rPr>
        <w:t xml:space="preserve">满足合同约定支付条件的，自收到发票后10个工作日内支付。</w:t>
      </w:r>
      <w:r>
        <w:rPr>
          <w:rFonts w:ascii="宋体" w:hAnsi="宋体"/>
          <w:b/>
          <w:bCs/>
          <w:sz w:val="24"/>
        </w:rPr>
      </w:r>
      <w:r/>
    </w:p>
    <w:p>
      <w:pPr>
        <w:pStyle w:val="91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73"/>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73"/>
        <w:ind w:left="480" w:hanging="48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73"/>
        <w:ind w:left="480" w:hanging="48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73"/>
        <w:ind w:left="480" w:hanging="48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73"/>
        <w:ind w:left="480" w:hanging="48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73"/>
        <w:ind w:left="480" w:hanging="48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73"/>
        <w:ind w:left="480" w:hanging="48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73"/>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73"/>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73"/>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73"/>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73"/>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73"/>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73"/>
        <w:ind w:left="480" w:hanging="48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73"/>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73"/>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73"/>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73"/>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73"/>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73"/>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73"/>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73"/>
        <w:ind w:left="480" w:hanging="48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73"/>
        <w:ind w:left="480" w:hanging="480"/>
        <w:rPr>
          <w:rFonts w:hAnsi="宋体"/>
          <w:sz w:val="24"/>
          <w:szCs w:val="24"/>
        </w:rPr>
      </w:pPr>
      <w:r>
        <w:rPr>
          <w:rFonts w:hAnsi="宋体"/>
          <w:sz w:val="24"/>
          <w:szCs w:val="24"/>
        </w:rPr>
        <w:t xml:space="preserve">  甲方：                        乙方： </w:t>
      </w:r>
      <w:r>
        <w:rPr>
          <w:rFonts w:hAnsi="宋体"/>
          <w:sz w:val="24"/>
          <w:szCs w:val="24"/>
        </w:rPr>
      </w:r>
      <w:r/>
    </w:p>
    <w:p>
      <w:pPr>
        <w:pStyle w:val="973"/>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73"/>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73"/>
        <w:ind w:firstLine="240"/>
        <w:rPr>
          <w:rFonts w:hint="eastAsia"/>
        </w:rPr>
      </w:pPr>
      <w:r>
        <w:rPr>
          <w:rFonts w:hint="eastAsia" w:hAnsi="宋体"/>
          <w:sz w:val="24"/>
          <w:szCs w:val="24"/>
        </w:rPr>
        <w:t xml:space="preserve">联系电话：                    联系电话：          </w:t>
      </w:r>
      <w:r>
        <w:rPr>
          <w:rFonts w:hint="eastAsia"/>
        </w:rPr>
      </w:r>
      <w:r/>
    </w:p>
    <w:p>
      <w:pPr>
        <w:pStyle w:val="973"/>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3"/>
      <w:r/>
      <w:bookmarkEnd w:id="194"/>
      <w:r/>
      <w:bookmarkEnd w:id="195"/>
      <w:r/>
      <w:bookmarkStart w:id="196" w:name="_Hlt16619369"/>
      <w:r/>
      <w:bookmarkEnd w:id="196"/>
      <w:r/>
      <w:bookmarkStart w:id="197" w:name="_Toc49090575"/>
      <w:r/>
      <w:bookmarkStart w:id="198" w:name="_Toc120614281"/>
      <w:r/>
      <w:bookmarkStart w:id="199" w:name="_Toc26554093"/>
      <w:r/>
      <w:bookmarkStart w:id="200" w:name="_Toc479757211"/>
      <w:r/>
      <w:bookmarkStart w:id="201" w:name="_Toc462564139"/>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pPr>
      <w:r/>
      <w:r/>
    </w:p>
    <w:p>
      <w:pPr>
        <w:pStyle w:val="973"/>
        <w:jc w:val="center"/>
        <w:rPr>
          <w:rFonts w:hint="eastAsia"/>
        </w:rPr>
      </w:pPr>
      <w:r>
        <w:rPr>
          <w:rFonts w:hint="eastAsia"/>
        </w:rPr>
      </w:r>
      <w:r/>
    </w:p>
    <w:p>
      <w:pPr>
        <w:pStyle w:val="973"/>
        <w:jc w:val="center"/>
        <w:rPr>
          <w:rFonts w:hint="eastAsia" w:ascii="黑体" w:eastAsia="黑体"/>
          <w:bCs/>
          <w:sz w:val="44"/>
        </w:rPr>
      </w:pPr>
      <w:r>
        <w:rPr>
          <w:rFonts w:hint="eastAsia" w:ascii="黑体" w:eastAsia="黑体"/>
          <w:bCs/>
          <w:sz w:val="44"/>
        </w:rPr>
      </w:r>
      <w:r/>
    </w:p>
    <w:p>
      <w:pPr>
        <w:pStyle w:val="973"/>
        <w:jc w:val="center"/>
        <w:rPr>
          <w:rFonts w:hint="eastAsia" w:ascii="黑体" w:eastAsia="黑体"/>
          <w:bCs/>
          <w:sz w:val="44"/>
        </w:rPr>
      </w:pPr>
      <w:r>
        <w:rPr>
          <w:rFonts w:hint="eastAsia" w:ascii="黑体" w:eastAsia="黑体"/>
          <w:bCs/>
          <w:sz w:val="44"/>
        </w:rPr>
      </w:r>
      <w:r/>
    </w:p>
    <w:p>
      <w:pPr>
        <w:pStyle w:val="973"/>
        <w:jc w:val="center"/>
        <w:rPr>
          <w:rFonts w:hint="eastAsia" w:ascii="黑体" w:eastAsia="黑体"/>
          <w:bCs/>
          <w:sz w:val="44"/>
        </w:rPr>
      </w:pPr>
      <w:r>
        <w:rPr>
          <w:rFonts w:hint="eastAsia" w:ascii="黑体" w:eastAsia="黑体"/>
          <w:bCs/>
          <w:sz w:val="44"/>
        </w:rPr>
      </w:r>
      <w:r/>
    </w:p>
    <w:p>
      <w:pPr>
        <w:pStyle w:val="916"/>
        <w:rPr>
          <w:rFonts w:hint="eastAsia" w:ascii="黑体" w:eastAsia="黑体"/>
          <w:b/>
          <w:bCs/>
          <w:sz w:val="44"/>
        </w:rPr>
      </w:pPr>
      <w:r/>
      <w:bookmarkStart w:id="202" w:name="_Toc30958_WPSOffice_Level1"/>
      <w:r>
        <w:rPr>
          <w:rFonts w:hint="eastAsia" w:ascii="黑体" w:eastAsia="黑体"/>
          <w:b/>
          <w:bCs/>
          <w:sz w:val="44"/>
        </w:rPr>
        <w:t xml:space="preserve">第四章 采购需求</w:t>
      </w:r>
      <w:bookmarkEnd w:id="202"/>
      <w:r>
        <w:rPr>
          <w:rFonts w:hint="eastAsia" w:ascii="黑体" w:eastAsia="黑体"/>
          <w:b/>
          <w:bCs/>
          <w:sz w:val="44"/>
        </w:rPr>
      </w:r>
      <w:r/>
    </w:p>
    <w:p>
      <w:pPr>
        <w:pStyle w:val="1024"/>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15"/>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医院智慧病房二期建设项目</w:t>
      </w:r>
      <w:r>
        <w:rPr>
          <w:rFonts w:hint="eastAsia"/>
          <w:bCs/>
          <w:sz w:val="24"/>
        </w:rPr>
      </w:r>
      <w:r/>
    </w:p>
    <w:p>
      <w:pPr>
        <w:pStyle w:val="915"/>
        <w:rPr>
          <w:rFonts w:hint="eastAsia" w:ascii="宋体" w:hAnsi="宋体"/>
          <w:sz w:val="24"/>
        </w:rPr>
      </w:pPr>
      <w:r>
        <w:rPr>
          <w:rFonts w:hint="eastAsia" w:ascii="宋体" w:hAnsi="宋体"/>
          <w:sz w:val="24"/>
        </w:rPr>
        <w:t xml:space="preserve">2.预算金额：</w:t>
      </w:r>
      <w:r>
        <w:rPr>
          <w:rFonts w:ascii="宋体" w:hAnsi="宋体"/>
          <w:sz w:val="24"/>
        </w:rPr>
        <w:t xml:space="preserve"> 800</w:t>
      </w:r>
      <w:r>
        <w:rPr>
          <w:rFonts w:hint="eastAsia" w:ascii="宋体" w:hAnsi="宋体"/>
          <w:sz w:val="24"/>
        </w:rPr>
        <w:t xml:space="preserve">万元</w:t>
      </w:r>
      <w:r>
        <w:rPr>
          <w:rFonts w:hint="eastAsia" w:ascii="宋体" w:hAnsi="宋体"/>
          <w:sz w:val="24"/>
        </w:rPr>
      </w:r>
      <w:r/>
    </w:p>
    <w:p>
      <w:pPr>
        <w:pStyle w:val="915"/>
        <w:rPr>
          <w:rFonts w:hint="eastAsia" w:ascii="宋体" w:hAnsi="宋体"/>
          <w:sz w:val="24"/>
        </w:rPr>
      </w:pPr>
      <w:r>
        <w:rPr>
          <w:rFonts w:hint="eastAsia" w:ascii="宋体" w:hAnsi="宋体"/>
          <w:sz w:val="24"/>
        </w:rPr>
        <w:t xml:space="preserve">3.最高限价：795万元</w:t>
      </w:r>
      <w:r>
        <w:rPr>
          <w:rFonts w:hint="eastAsia" w:ascii="宋体" w:hAnsi="宋体"/>
          <w:sz w:val="24"/>
        </w:rPr>
      </w:r>
      <w:r/>
    </w:p>
    <w:p>
      <w:pPr>
        <w:pStyle w:val="915"/>
        <w:rPr>
          <w:rFonts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结合国家政策号召和医院目前临床护理业务现状，我院拟进行医院智慧病房二期建设项目，旨在通过数据高效采集和利用、护理流程优化、医疗安全提升、服务便捷和多元化等方面建设，达到提升医疗服务质量和效率、改善患者就医体验、提升医院信息化管理水平、推动医院高质量发展的目标。</w:t>
      </w:r>
      <w:r>
        <w:rPr>
          <w:rFonts w:ascii="宋体" w:hAnsi="宋体" w:cs="宋体"/>
          <w:sz w:val="24"/>
        </w:rPr>
      </w:r>
      <w:r/>
    </w:p>
    <w:p>
      <w:pPr>
        <w:pStyle w:val="915"/>
        <w:rPr>
          <w:rFonts w:hint="eastAsia" w:ascii="宋体" w:hAnsi="宋体"/>
          <w:sz w:val="24"/>
        </w:rPr>
      </w:pPr>
      <w:r>
        <w:rPr>
          <w:rFonts w:hint="eastAsia" w:ascii="宋体" w:hAnsi="宋体"/>
          <w:sz w:val="24"/>
        </w:rPr>
        <w:t xml:space="preserve">5.合同履行期限：项目合同签订且验收后3年内</w:t>
      </w:r>
      <w:r>
        <w:rPr>
          <w:rFonts w:hint="eastAsia" w:ascii="宋体" w:hAnsi="宋体"/>
          <w:sz w:val="24"/>
        </w:rPr>
      </w:r>
      <w:r/>
    </w:p>
    <w:p>
      <w:pPr>
        <w:pStyle w:val="915"/>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91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91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91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91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rFonts w:hint="eastAsia"/>
          <w:sz w:val="24"/>
        </w:rPr>
      </w:r>
      <w:r/>
    </w:p>
    <w:p>
      <w:pPr>
        <w:pStyle w:val="915"/>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15"/>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1024"/>
        <w:numPr>
          <w:ilvl w:val="0"/>
          <w:numId w:val="5"/>
        </w:numPr>
        <w:jc w:val="both"/>
        <w:widowControl w:val="off"/>
        <w:rPr>
          <w:rFonts w:ascii="Times New Roman" w:hAnsi="Times New Roman"/>
          <w:b/>
          <w:lang w:eastAsia="zh-CN"/>
        </w:rPr>
      </w:pPr>
      <w:r>
        <w:rPr>
          <w:rFonts w:ascii="Times New Roman" w:hAnsi="Times New Roman"/>
          <w:b/>
          <w:lang w:eastAsia="zh-CN"/>
        </w:rPr>
        <w:t xml:space="preserve">商务要求</w:t>
      </w:r>
      <w:r>
        <w:rPr>
          <w:rFonts w:ascii="Times New Roman" w:hAnsi="Times New Roman"/>
          <w:b/>
          <w:lang w:eastAsia="zh-CN"/>
        </w:rPr>
      </w:r>
      <w:r/>
    </w:p>
    <w:p>
      <w:pPr>
        <w:pStyle w:val="915"/>
        <w:rPr>
          <w:i/>
          <w:sz w:val="24"/>
        </w:rPr>
      </w:pPr>
      <w:r>
        <w:rPr>
          <w:sz w:val="24"/>
        </w:rPr>
        <w:t xml:space="preserve">1. 交付（实施）的时间（期限）和地点（范围）</w:t>
      </w:r>
      <w:r>
        <w:rPr>
          <w:i/>
          <w:sz w:val="24"/>
        </w:rPr>
      </w:r>
      <w:r/>
    </w:p>
    <w:p>
      <w:pPr>
        <w:pStyle w:val="915"/>
        <w:rPr>
          <w:sz w:val="24"/>
        </w:rPr>
      </w:pPr>
      <w:r>
        <w:rPr>
          <w:rFonts w:hint="eastAsia"/>
          <w:sz w:val="24"/>
        </w:rPr>
        <w:t xml:space="preserve">交付时间：合同签订之日起3个月内到货、安装、调试完毕。</w:t>
      </w:r>
      <w:r>
        <w:rPr>
          <w:rFonts w:hint="eastAsia"/>
          <w:sz w:val="24"/>
        </w:rPr>
        <w:br w:type="textWrapping" w:clear="all"/>
      </w:r>
      <w:r>
        <w:rPr>
          <w:rFonts w:hint="eastAsia"/>
          <w:sz w:val="24"/>
        </w:rPr>
        <w:t xml:space="preserve">交付地点：常州市第一人民医院。</w:t>
      </w:r>
      <w:r>
        <w:rPr>
          <w:sz w:val="24"/>
        </w:rPr>
      </w:r>
      <w:r/>
    </w:p>
    <w:p>
      <w:pPr>
        <w:pStyle w:val="915"/>
        <w:rPr>
          <w:i/>
          <w:sz w:val="24"/>
        </w:rPr>
      </w:pPr>
      <w:r>
        <w:rPr>
          <w:i/>
          <w:sz w:val="24"/>
        </w:rPr>
      </w:r>
      <w:r/>
    </w:p>
    <w:p>
      <w:pPr>
        <w:pStyle w:val="915"/>
        <w:rPr>
          <w:sz w:val="24"/>
        </w:rPr>
      </w:pPr>
      <w:r>
        <w:rPr>
          <w:sz w:val="24"/>
        </w:rPr>
        <w:t xml:space="preserve">2. 付款条件（进度和方式）</w:t>
      </w:r>
      <w:r>
        <w:rPr>
          <w:sz w:val="24"/>
        </w:rPr>
      </w:r>
      <w:r/>
    </w:p>
    <w:p>
      <w:pPr>
        <w:pStyle w:val="915"/>
        <w:rPr>
          <w:rFonts w:hint="eastAsia"/>
          <w:sz w:val="24"/>
        </w:rPr>
      </w:pPr>
      <w:r>
        <w:rPr>
          <w:rFonts w:hint="eastAsia"/>
          <w:sz w:val="24"/>
        </w:rPr>
        <w:t xml:space="preserve">分期付款：合同签订完成后，采购人接受硬件及货物且中标人实施人员进场后10个工作日内付合同总价的50%为预付款；系统上线并完成验收合格后10个工作日内付合同总价的45%；运维服务期结束前10个工作日内支付合同总价的5%。</w:t>
      </w:r>
      <w:r>
        <w:rPr>
          <w:rFonts w:hint="eastAsia"/>
          <w:b/>
          <w:bCs/>
          <w:sz w:val="24"/>
        </w:rPr>
        <w:t xml:space="preserve">满足合同约定支付条件的，自收到发票后10个工作日内支付。</w:t>
      </w:r>
      <w:r>
        <w:rPr>
          <w:rFonts w:hint="eastAsia"/>
          <w:sz w:val="24"/>
        </w:rPr>
      </w:r>
      <w:r/>
    </w:p>
    <w:p>
      <w:pPr>
        <w:pStyle w:val="915"/>
        <w:rPr>
          <w:rFonts w:hint="eastAsia"/>
          <w:sz w:val="24"/>
        </w:rPr>
      </w:pPr>
      <w:r>
        <w:rPr>
          <w:rFonts w:hint="eastAsia"/>
          <w:sz w:val="24"/>
        </w:rPr>
      </w:r>
      <w:r/>
    </w:p>
    <w:p>
      <w:pPr>
        <w:pStyle w:val="915"/>
        <w:rPr>
          <w:rFonts w:hint="eastAsia"/>
          <w:sz w:val="24"/>
        </w:rPr>
      </w:pPr>
      <w:r>
        <w:rPr>
          <w:sz w:val="24"/>
        </w:rPr>
        <w:t xml:space="preserve">3. 包装和运输</w:t>
      </w:r>
      <w:r>
        <w:rPr>
          <w:rFonts w:hint="eastAsia"/>
          <w:sz w:val="24"/>
        </w:rPr>
      </w:r>
      <w:r/>
    </w:p>
    <w:p>
      <w:pPr>
        <w:pStyle w:val="915"/>
        <w:rPr>
          <w:sz w:val="24"/>
        </w:rPr>
      </w:pPr>
      <w:r>
        <w:rPr>
          <w:rFonts w:hint="eastAsia"/>
          <w:sz w:val="24"/>
        </w:rPr>
        <w:t xml:space="preserve">无</w:t>
      </w:r>
      <w:r>
        <w:rPr>
          <w:sz w:val="24"/>
        </w:rPr>
      </w:r>
      <w:r/>
    </w:p>
    <w:p>
      <w:pPr>
        <w:pStyle w:val="915"/>
        <w:rPr>
          <w:sz w:val="24"/>
        </w:rPr>
      </w:pPr>
      <w:r>
        <w:rPr>
          <w:sz w:val="24"/>
        </w:rPr>
      </w:r>
      <w:r/>
    </w:p>
    <w:p>
      <w:pPr>
        <w:pStyle w:val="915"/>
        <w:rPr>
          <w:sz w:val="24"/>
        </w:rPr>
      </w:pPr>
      <w:r>
        <w:rPr>
          <w:sz w:val="24"/>
        </w:rPr>
        <w:t xml:space="preserve">4. 售后服务（质保期</w:t>
      </w:r>
      <w:r>
        <w:rPr>
          <w:rFonts w:hint="eastAsia"/>
          <w:sz w:val="24"/>
        </w:rPr>
        <w:t xml:space="preserve">等</w:t>
      </w:r>
      <w:r>
        <w:rPr>
          <w:sz w:val="24"/>
        </w:rPr>
        <w:t xml:space="preserve">）</w:t>
      </w:r>
      <w:r>
        <w:rPr>
          <w:sz w:val="24"/>
        </w:rPr>
      </w:r>
      <w:r/>
    </w:p>
    <w:p>
      <w:pPr>
        <w:pStyle w:val="915"/>
        <w:rPr>
          <w:rFonts w:hint="eastAsia"/>
          <w:sz w:val="24"/>
        </w:rPr>
      </w:pPr>
      <w:r>
        <w:rPr>
          <w:sz w:val="24"/>
        </w:rPr>
        <w:t xml:space="preserve">4.1</w:t>
      </w:r>
      <w:r>
        <w:rPr>
          <w:rFonts w:ascii="宋体" w:hAnsi="宋体" w:cs="宋体"/>
          <w:color w:val="000000"/>
          <w:lang w:bidi="ar"/>
        </w:rPr>
        <w:t xml:space="preserve">★</w:t>
      </w:r>
      <w:r>
        <w:rPr>
          <w:rFonts w:hint="eastAsia"/>
          <w:sz w:val="24"/>
        </w:rPr>
        <w:t xml:space="preserve">本次项目中涉及的系统软件须提供验收合格后至少免费三年维保服务；硬件提供3年7*24硬件原厂技术支持与售后服务和3年坏盘不返还服务</w:t>
      </w:r>
      <w:r>
        <w:rPr>
          <w:rFonts w:hint="eastAsia"/>
          <w:b/>
          <w:bCs/>
          <w:sz w:val="24"/>
        </w:rPr>
        <w:t xml:space="preserve">（</w:t>
      </w:r>
      <w:r>
        <w:rPr>
          <w:rFonts w:hint="eastAsia" w:ascii="宋体" w:hAnsi="宋体" w:cs="宋体"/>
          <w:b/>
          <w:bCs/>
          <w:color w:val="000000"/>
          <w:lang w:bidi="ar"/>
        </w:rPr>
        <w:t xml:space="preserve">投标人需出具承诺函并加盖投标人公章。</w:t>
      </w:r>
      <w:r>
        <w:rPr>
          <w:rFonts w:hint="eastAsia"/>
          <w:b/>
          <w:bCs/>
          <w:sz w:val="24"/>
        </w:rPr>
        <w:t xml:space="preserve">）</w:t>
      </w:r>
      <w:r>
        <w:rPr>
          <w:rFonts w:hint="eastAsia"/>
          <w:sz w:val="24"/>
        </w:rPr>
        <w:t xml:space="preserve">。</w:t>
      </w:r>
      <w:r>
        <w:rPr>
          <w:rFonts w:hint="eastAsia"/>
          <w:sz w:val="24"/>
        </w:rPr>
      </w:r>
      <w:r/>
    </w:p>
    <w:p>
      <w:pPr>
        <w:pStyle w:val="915"/>
        <w:rPr>
          <w:rFonts w:hint="eastAsia"/>
          <w:sz w:val="24"/>
        </w:rPr>
      </w:pPr>
      <w:r>
        <w:rPr>
          <w:sz w:val="24"/>
        </w:rPr>
        <w:t xml:space="preserve">4.2</w:t>
      </w:r>
      <w:r>
        <w:rPr>
          <w:rFonts w:hint="eastAsia"/>
          <w:sz w:val="24"/>
        </w:rPr>
        <w:t xml:space="preserve">投标方应在投标文件中说明在保修期内提供的服务计划，维护范围包括（包括但不限于）软件安装，调试、维修、接口等内容。</w:t>
      </w:r>
      <w:r>
        <w:rPr>
          <w:rFonts w:hint="eastAsia"/>
          <w:sz w:val="24"/>
        </w:rPr>
      </w:r>
      <w:r/>
    </w:p>
    <w:p>
      <w:pPr>
        <w:pStyle w:val="915"/>
        <w:rPr>
          <w:rFonts w:hint="eastAsia"/>
          <w:sz w:val="24"/>
        </w:rPr>
      </w:pPr>
      <w:r>
        <w:rPr>
          <w:sz w:val="24"/>
        </w:rPr>
        <w:t xml:space="preserve">4.3</w:t>
      </w:r>
      <w:r>
        <w:rPr>
          <w:rFonts w:hint="eastAsia"/>
          <w:sz w:val="24"/>
        </w:rPr>
        <w:t xml:space="preserve">在系统的服务期内，投标方应确保系统的正常使用。在接到用户服务要求后应立即做出回应，并在承诺的服务时间内实施服务。</w:t>
      </w:r>
      <w:r>
        <w:rPr>
          <w:rFonts w:hint="eastAsia"/>
          <w:sz w:val="24"/>
        </w:rPr>
      </w:r>
      <w:r/>
    </w:p>
    <w:p>
      <w:pPr>
        <w:pStyle w:val="915"/>
        <w:rPr>
          <w:sz w:val="24"/>
        </w:rPr>
      </w:pPr>
      <w:r>
        <w:rPr>
          <w:sz w:val="24"/>
        </w:rPr>
        <w:t xml:space="preserve">4.4</w:t>
      </w:r>
      <w:r>
        <w:rPr>
          <w:rFonts w:hint="eastAsia"/>
          <w:sz w:val="24"/>
        </w:rPr>
        <w:t xml:space="preserve">投标人有良好的售后服务能力，并提供维保期内的免费服务及软件升级，维保期内设备故障要求4小时内</w:t>
      </w:r>
      <w:r>
        <w:rPr>
          <w:rFonts w:hint="eastAsia"/>
          <w:sz w:val="24"/>
        </w:rPr>
        <w:t xml:space="preserve">响应，8小时内排除故障，如不能排除故障，提供备机。如出现影响医院业务重大故障的，需要2小时赶到现场并排除；如未能在规定时间内排除故障，对医院业务造成2小时及以上中断的，对每发生一次，其维保期相应延长30天。保质期内因设备本身缺陷造成各种故障应由中标人免费技术服务和维修，项目验收合格后，每年不低于4次的例行维护及巡检。例行维护内容包括：软件的功能增强性维护等应用软件系统扩充升级（其中包括系统维护、跟踪检测），保证投标方所开发的软件正常运行；硬件的现场巡检、调整优化，并对设备进行保养和正常维护并提交维护报告等。</w:t>
      </w:r>
      <w:r>
        <w:rPr>
          <w:sz w:val="24"/>
        </w:rPr>
      </w:r>
      <w:r/>
    </w:p>
    <w:p>
      <w:pPr>
        <w:pStyle w:val="915"/>
        <w:rPr>
          <w:sz w:val="24"/>
        </w:rPr>
      </w:pPr>
      <w:r>
        <w:rPr>
          <w:sz w:val="24"/>
        </w:rPr>
      </w:r>
      <w:r/>
    </w:p>
    <w:p>
      <w:pPr>
        <w:pStyle w:val="915"/>
        <w:rPr>
          <w:rFonts w:hint="eastAsia"/>
          <w:sz w:val="24"/>
        </w:rPr>
      </w:pPr>
      <w:r>
        <w:rPr>
          <w:sz w:val="24"/>
        </w:rPr>
        <w:t xml:space="preserve">5. 保险</w:t>
      </w:r>
      <w:r>
        <w:rPr>
          <w:rFonts w:hint="eastAsia"/>
          <w:sz w:val="24"/>
        </w:rPr>
      </w:r>
      <w:r/>
    </w:p>
    <w:p>
      <w:pPr>
        <w:pStyle w:val="915"/>
        <w:rPr>
          <w:bCs/>
          <w:iCs/>
          <w:sz w:val="24"/>
        </w:rPr>
      </w:pPr>
      <w:r>
        <w:rPr>
          <w:rFonts w:hint="eastAsia"/>
          <w:bCs/>
          <w:iCs/>
          <w:sz w:val="24"/>
        </w:rPr>
        <w:t xml:space="preserve">无</w:t>
      </w:r>
      <w:r>
        <w:rPr>
          <w:bCs/>
          <w:iCs/>
          <w:sz w:val="24"/>
        </w:rPr>
      </w:r>
      <w:r/>
    </w:p>
    <w:p>
      <w:pPr>
        <w:pStyle w:val="915"/>
        <w:rPr>
          <w:b/>
          <w:i/>
          <w:sz w:val="24"/>
        </w:rPr>
      </w:pPr>
      <w:r>
        <w:rPr>
          <w:b/>
          <w:i/>
          <w:sz w:val="24"/>
        </w:rPr>
      </w:r>
      <w:r/>
    </w:p>
    <w:p>
      <w:pPr>
        <w:pStyle w:val="1024"/>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5"/>
        <w:rPr>
          <w:sz w:val="24"/>
        </w:rPr>
      </w:pPr>
      <w:r>
        <w:rPr>
          <w:sz w:val="24"/>
        </w:rPr>
        <w:t xml:space="preserve">1. 基本要求</w:t>
      </w:r>
      <w:r>
        <w:rPr>
          <w:sz w:val="24"/>
        </w:rPr>
      </w:r>
      <w:r/>
    </w:p>
    <w:p>
      <w:pPr>
        <w:pStyle w:val="915"/>
        <w:ind w:firstLine="480"/>
        <w:rPr>
          <w:sz w:val="24"/>
        </w:rPr>
      </w:pPr>
      <w:r>
        <w:rPr>
          <w:sz w:val="24"/>
        </w:rPr>
        <w:t xml:space="preserve">1.1 采购标的需实现的功能或者目标</w:t>
      </w:r>
      <w:r>
        <w:rPr>
          <w:sz w:val="24"/>
        </w:rPr>
      </w:r>
      <w:r/>
    </w:p>
    <w:p>
      <w:pPr>
        <w:pStyle w:val="915"/>
        <w:contextualSpacing/>
        <w:ind w:firstLine="480"/>
        <w:spacing w:line="360" w:lineRule="auto"/>
        <w:rPr>
          <w:sz w:val="24"/>
        </w:rPr>
      </w:pPr>
      <w:r>
        <w:rPr>
          <w:rFonts w:hint="eastAsia"/>
          <w:sz w:val="24"/>
        </w:rPr>
        <w:t xml:space="preserve">2022年4月，国家卫生健康委印发《全国护理事业发展规划（2021-2025年）》，推进“十四五”时期我国护理事业高质量发展，提高人民群众健康水平“，其中第（五）条加强护理信息化建设中明确指出要充分借助云计算、大数据、物联网、区块链和移动互联网等信息化技术，结合发展智慧医院和“互联网+医疗健康”等要求，着力加强护理信息化建设。利用信息化手段，创新护理服务模式，为患者提供便捷、高效的护理服务。优化护理服务流程，提高临床护理工作效率，降低护士不必要的工作负荷，逐步实现护理管理的现代化、科学化、精细化”。</w:t>
      </w:r>
      <w:r>
        <w:rPr>
          <w:sz w:val="24"/>
        </w:rPr>
      </w:r>
      <w:r/>
    </w:p>
    <w:p>
      <w:pPr>
        <w:pStyle w:val="915"/>
        <w:contextualSpacing/>
        <w:ind w:firstLine="480"/>
        <w:spacing w:line="360" w:lineRule="auto"/>
        <w:rPr>
          <w:sz w:val="24"/>
        </w:rPr>
      </w:pPr>
      <w:r>
        <w:rPr>
          <w:rFonts w:hint="eastAsia"/>
          <w:sz w:val="24"/>
        </w:rPr>
        <w:t xml:space="preserve">为促进和规范全国医院信息化建设，国家卫健委制定了《全国医院信息化建设标准与规范（试行）》，明确了未来5-10年全国医院信息化应用发展要求，对我国大、中型医院病房患者多、医护人员少的现实情况，实施信息化智慧病房的建设，致力于优化病房的医疗护理质量管理，提升患者住院就医服务与安全，建设智慧医院、病房已然成为提升医疗质量的重要举措。</w:t>
      </w:r>
      <w:r>
        <w:rPr>
          <w:sz w:val="24"/>
        </w:rPr>
      </w:r>
      <w:r/>
    </w:p>
    <w:p>
      <w:pPr>
        <w:pStyle w:val="915"/>
        <w:contextualSpacing/>
        <w:ind w:firstLine="480"/>
        <w:spacing w:line="360" w:lineRule="auto"/>
        <w:rPr>
          <w:sz w:val="24"/>
        </w:rPr>
      </w:pPr>
      <w:r>
        <w:rPr>
          <w:rFonts w:hint="eastAsia"/>
          <w:sz w:val="24"/>
        </w:rPr>
        <w:t xml:space="preserve">结合国家政策号召和医院目前临床护理业务现状，医院进行智慧病房二期建设，旨在通过数据高效采集和利用、护理流程优化、医疗安全提升、服务便捷和多元化等方面建设，达到提升医疗服务质量和效率、改善患者就医体验、提升医院信息化管理水平、推动医院高质量发展的目标。</w:t>
      </w:r>
      <w:r>
        <w:rPr>
          <w:sz w:val="24"/>
        </w:rPr>
      </w:r>
      <w:r/>
    </w:p>
    <w:p>
      <w:pPr>
        <w:pStyle w:val="915"/>
        <w:ind w:firstLine="480"/>
        <w:rPr>
          <w:rFonts w:hint="eastAsia"/>
          <w:sz w:val="24"/>
          <w:highlight w:val="yellow"/>
        </w:rPr>
      </w:pPr>
      <w:r>
        <w:rPr>
          <w:rFonts w:hint="eastAsia"/>
          <w:sz w:val="24"/>
          <w:highlight w:val="yellow"/>
        </w:rPr>
      </w:r>
      <w:r/>
    </w:p>
    <w:p>
      <w:pPr>
        <w:pStyle w:val="915"/>
        <w:ind w:firstLine="480"/>
        <w:rPr>
          <w:sz w:val="24"/>
        </w:rPr>
      </w:pPr>
      <w:r>
        <w:rPr>
          <w:sz w:val="24"/>
        </w:rPr>
        <w:t xml:space="preserve">1.2 需执行的国家相关标准、行业标准、地方标准或者其他标准、规范</w:t>
      </w:r>
      <w:r>
        <w:rPr>
          <w:sz w:val="24"/>
        </w:rPr>
      </w:r>
      <w:r/>
    </w:p>
    <w:p>
      <w:pPr>
        <w:pStyle w:val="915"/>
        <w:contextualSpacing/>
        <w:ind w:firstLine="480"/>
        <w:spacing w:line="360" w:lineRule="auto"/>
        <w:rPr>
          <w:sz w:val="24"/>
        </w:rPr>
      </w:pPr>
      <w:r>
        <w:rPr>
          <w:rFonts w:hint="eastAsia"/>
          <w:sz w:val="24"/>
        </w:rPr>
        <w:t xml:space="preserve">本项目在建设过程中，以下标准或要求（包含但不仅限于）均适用于本文件。</w:t>
      </w:r>
      <w:r>
        <w:rPr>
          <w:sz w:val="24"/>
        </w:rPr>
      </w:r>
      <w:r/>
    </w:p>
    <w:p>
      <w:pPr>
        <w:pStyle w:val="915"/>
        <w:contextualSpacing/>
        <w:spacing w:line="360" w:lineRule="auto"/>
        <w:rPr>
          <w:sz w:val="24"/>
        </w:rPr>
      </w:pPr>
      <w:r>
        <w:rPr>
          <w:rFonts w:hint="eastAsia"/>
          <w:sz w:val="24"/>
        </w:rPr>
        <w:t xml:space="preserve">项目建设执行包括不并限于以下标准；下述规范和标准如有缺少或有更新，须按现有或更新后的标准执行。</w:t>
      </w:r>
      <w:r>
        <w:rPr>
          <w:sz w:val="24"/>
        </w:rPr>
      </w:r>
      <w:r/>
    </w:p>
    <w:p>
      <w:pPr>
        <w:pStyle w:val="915"/>
        <w:contextualSpacing/>
        <w:ind w:firstLine="480"/>
        <w:spacing w:line="360" w:lineRule="auto"/>
        <w:rPr>
          <w:sz w:val="24"/>
        </w:rPr>
      </w:pPr>
      <w:r>
        <w:rPr>
          <w:rFonts w:hint="eastAsia"/>
          <w:sz w:val="24"/>
        </w:rPr>
        <w:t xml:space="preserve">《全国医院信息化建设标准与规范（试行）》,国卫办规划发〔2018〕4号；</w:t>
      </w:r>
      <w:r>
        <w:rPr>
          <w:sz w:val="24"/>
        </w:rPr>
      </w:r>
      <w:r/>
    </w:p>
    <w:p>
      <w:pPr>
        <w:pStyle w:val="915"/>
        <w:contextualSpacing/>
        <w:ind w:firstLine="480"/>
        <w:spacing w:line="360" w:lineRule="auto"/>
        <w:rPr>
          <w:sz w:val="24"/>
        </w:rPr>
      </w:pPr>
      <w:r>
        <w:rPr>
          <w:rFonts w:hint="eastAsia"/>
          <w:sz w:val="24"/>
        </w:rPr>
        <w:t xml:space="preserve">国务院办公厅《关于促进和规范健康医疗大数据应用发展的指导意见》，国办发〔2016〕47号；</w:t>
      </w:r>
      <w:r>
        <w:rPr>
          <w:sz w:val="24"/>
        </w:rPr>
      </w:r>
      <w:r/>
    </w:p>
    <w:p>
      <w:pPr>
        <w:pStyle w:val="915"/>
        <w:contextualSpacing/>
        <w:ind w:firstLine="480"/>
        <w:spacing w:line="360" w:lineRule="auto"/>
        <w:rPr>
          <w:sz w:val="24"/>
        </w:rPr>
      </w:pPr>
      <w:r>
        <w:rPr>
          <w:rFonts w:hint="eastAsia"/>
          <w:sz w:val="24"/>
        </w:rPr>
        <w:t xml:space="preserve">《国家健康医疗大数据标准、安全和服务管理办法（试行）》，国卫规划发〔2018〕23号;</w:t>
      </w:r>
      <w:r>
        <w:rPr>
          <w:sz w:val="24"/>
        </w:rPr>
      </w:r>
      <w:r/>
    </w:p>
    <w:p>
      <w:pPr>
        <w:pStyle w:val="915"/>
        <w:contextualSpacing/>
        <w:spacing w:line="360" w:lineRule="auto"/>
        <w:rPr>
          <w:sz w:val="24"/>
        </w:rPr>
      </w:pPr>
      <w:r>
        <w:rPr>
          <w:rFonts w:hint="eastAsia"/>
          <w:sz w:val="24"/>
        </w:rPr>
        <w:t xml:space="preserve"> </w:t>
      </w:r>
      <w:r>
        <w:rPr>
          <w:sz w:val="24"/>
        </w:rPr>
        <w:t xml:space="preserve">  </w:t>
      </w:r>
      <w:r>
        <w:rPr>
          <w:rFonts w:hint="eastAsia"/>
          <w:sz w:val="24"/>
        </w:rPr>
        <w:t xml:space="preserve">国务院《促进大数据发展行动纲要的通知》，国发〔2015〕50号；</w:t>
      </w:r>
      <w:r>
        <w:rPr>
          <w:sz w:val="24"/>
        </w:rPr>
      </w:r>
      <w:r/>
    </w:p>
    <w:p>
      <w:pPr>
        <w:pStyle w:val="915"/>
        <w:contextualSpacing/>
        <w:spacing w:line="360" w:lineRule="auto"/>
        <w:rPr>
          <w:sz w:val="24"/>
        </w:rPr>
      </w:pPr>
      <w:r>
        <w:rPr>
          <w:rFonts w:hint="eastAsia"/>
          <w:sz w:val="24"/>
        </w:rPr>
        <w:t xml:space="preserve"> </w:t>
      </w:r>
      <w:r>
        <w:rPr>
          <w:sz w:val="24"/>
        </w:rPr>
        <w:t xml:space="preserve">  </w:t>
      </w:r>
      <w:r>
        <w:rPr>
          <w:rFonts w:hint="eastAsia"/>
          <w:sz w:val="24"/>
        </w:rPr>
        <w:t xml:space="preserve">国务院办公厅《促进“互联网+医疗健康”发展的意见》国办发〔2018〕26号；</w:t>
      </w:r>
      <w:r>
        <w:rPr>
          <w:sz w:val="24"/>
        </w:rPr>
      </w:r>
      <w:r/>
    </w:p>
    <w:p>
      <w:pPr>
        <w:pStyle w:val="915"/>
        <w:contextualSpacing/>
        <w:spacing w:line="360" w:lineRule="auto"/>
        <w:rPr>
          <w:sz w:val="24"/>
        </w:rPr>
      </w:pPr>
      <w:r>
        <w:rPr>
          <w:rFonts w:hint="eastAsia"/>
          <w:sz w:val="24"/>
        </w:rPr>
        <w:t xml:space="preserve"> </w:t>
      </w:r>
      <w:r>
        <w:rPr>
          <w:sz w:val="24"/>
        </w:rPr>
        <w:t xml:space="preserve">  </w:t>
      </w:r>
      <w:r>
        <w:rPr>
          <w:rFonts w:hint="eastAsia"/>
          <w:sz w:val="24"/>
        </w:rPr>
        <w:t xml:space="preserve">医院智慧服务分级评估标准体系（试行），国家卫生健康委办公厅（2019）；</w:t>
      </w:r>
      <w:r>
        <w:rPr>
          <w:sz w:val="24"/>
        </w:rPr>
      </w:r>
      <w:r/>
    </w:p>
    <w:p>
      <w:pPr>
        <w:pStyle w:val="915"/>
        <w:contextualSpacing/>
        <w:spacing w:line="360" w:lineRule="auto"/>
        <w:rPr>
          <w:sz w:val="24"/>
        </w:rPr>
      </w:pPr>
      <w:r>
        <w:rPr>
          <w:rFonts w:hint="eastAsia"/>
          <w:sz w:val="24"/>
        </w:rPr>
        <w:t xml:space="preserve"> </w:t>
      </w:r>
      <w:r>
        <w:rPr>
          <w:sz w:val="24"/>
        </w:rPr>
        <w:t xml:space="preserve">  </w:t>
      </w:r>
      <w:r>
        <w:rPr>
          <w:rFonts w:hint="eastAsia"/>
          <w:sz w:val="24"/>
        </w:rPr>
        <w:t xml:space="preserve">医院智慧管理分级评估标准体系（试行），国家卫生健康委办公厅（2021）；</w:t>
      </w:r>
      <w:r>
        <w:rPr>
          <w:sz w:val="24"/>
        </w:rPr>
      </w:r>
      <w:r/>
    </w:p>
    <w:p>
      <w:pPr>
        <w:pStyle w:val="915"/>
        <w:contextualSpacing/>
        <w:ind w:firstLine="480"/>
        <w:spacing w:line="360" w:lineRule="auto"/>
        <w:rPr>
          <w:sz w:val="24"/>
        </w:rPr>
      </w:pPr>
      <w:r>
        <w:rPr>
          <w:rFonts w:hint="eastAsia"/>
          <w:sz w:val="24"/>
        </w:rPr>
        <w:t xml:space="preserve">《电子病历系统功能应用水平分级评价方法及标准》，国卫办医函〔2018〕1079号；</w:t>
      </w:r>
      <w:r>
        <w:rPr>
          <w:sz w:val="24"/>
        </w:rPr>
      </w:r>
      <w:r/>
    </w:p>
    <w:p>
      <w:pPr>
        <w:pStyle w:val="915"/>
        <w:contextualSpacing/>
        <w:spacing w:line="360" w:lineRule="auto"/>
        <w:rPr>
          <w:sz w:val="24"/>
        </w:rPr>
      </w:pPr>
      <w:r>
        <w:rPr>
          <w:rFonts w:hint="eastAsia"/>
          <w:sz w:val="24"/>
        </w:rPr>
        <w:t xml:space="preserve"> </w:t>
      </w:r>
      <w:r>
        <w:rPr>
          <w:sz w:val="24"/>
        </w:rPr>
        <w:t xml:space="preserve">  </w:t>
      </w:r>
      <w:r>
        <w:rPr>
          <w:rFonts w:hint="eastAsia"/>
          <w:sz w:val="24"/>
        </w:rPr>
        <w:t xml:space="preserve">建设期内的智慧医疗分级评价建设期内最新标准（如发布）；</w:t>
      </w:r>
      <w:r>
        <w:rPr>
          <w:sz w:val="24"/>
        </w:rPr>
      </w:r>
      <w:r/>
    </w:p>
    <w:p>
      <w:pPr>
        <w:pStyle w:val="915"/>
        <w:contextualSpacing/>
        <w:ind w:firstLine="480"/>
        <w:spacing w:line="360" w:lineRule="auto"/>
        <w:rPr>
          <w:sz w:val="24"/>
        </w:rPr>
      </w:pPr>
      <w:r>
        <w:rPr>
          <w:rFonts w:hint="eastAsia"/>
          <w:sz w:val="24"/>
        </w:rPr>
        <w:t xml:space="preserve">《网络安全法》；</w:t>
      </w:r>
      <w:r>
        <w:rPr>
          <w:sz w:val="24"/>
        </w:rPr>
      </w:r>
      <w:r/>
    </w:p>
    <w:p>
      <w:pPr>
        <w:pStyle w:val="915"/>
        <w:contextualSpacing/>
        <w:ind w:firstLine="480"/>
        <w:spacing w:line="360" w:lineRule="auto"/>
        <w:rPr>
          <w:sz w:val="24"/>
        </w:rPr>
      </w:pPr>
      <w:r>
        <w:rPr>
          <w:rFonts w:hint="eastAsia"/>
          <w:sz w:val="24"/>
        </w:rPr>
        <w:t xml:space="preserve">《个人信息保护法》</w:t>
      </w:r>
      <w:r>
        <w:rPr>
          <w:sz w:val="24"/>
        </w:rPr>
      </w:r>
      <w:r/>
    </w:p>
    <w:p>
      <w:pPr>
        <w:pStyle w:val="915"/>
        <w:contextualSpacing/>
        <w:ind w:firstLine="480"/>
        <w:spacing w:line="360" w:lineRule="auto"/>
        <w:rPr>
          <w:sz w:val="24"/>
        </w:rPr>
      </w:pPr>
      <w:r>
        <w:rPr>
          <w:rFonts w:hint="eastAsia"/>
          <w:sz w:val="24"/>
        </w:rPr>
        <w:t xml:space="preserve">《信息安全技术 信息系统安全等级保护基本要求》（GB/T 22239—2008）</w:t>
      </w:r>
      <w:r>
        <w:rPr>
          <w:sz w:val="24"/>
        </w:rPr>
      </w:r>
      <w:r/>
    </w:p>
    <w:p>
      <w:pPr>
        <w:pStyle w:val="915"/>
        <w:contextualSpacing/>
        <w:ind w:firstLine="480"/>
        <w:spacing w:line="360" w:lineRule="auto"/>
        <w:rPr>
          <w:sz w:val="24"/>
        </w:rPr>
      </w:pPr>
      <w:r>
        <w:rPr>
          <w:rFonts w:hint="eastAsia"/>
          <w:sz w:val="24"/>
        </w:rPr>
        <w:t xml:space="preserve">《数据安全技术 数据分类分级规则》（GB/T 43697-2024）</w:t>
      </w:r>
      <w:r>
        <w:rPr>
          <w:sz w:val="24"/>
        </w:rPr>
      </w:r>
      <w:r/>
    </w:p>
    <w:p>
      <w:pPr>
        <w:pStyle w:val="915"/>
        <w:contextualSpacing/>
        <w:ind w:firstLine="480"/>
        <w:spacing w:line="360" w:lineRule="auto"/>
        <w:rPr>
          <w:sz w:val="24"/>
        </w:rPr>
      </w:pPr>
      <w:r>
        <w:rPr>
          <w:rFonts w:hint="eastAsia"/>
          <w:sz w:val="24"/>
        </w:rPr>
        <w:t xml:space="preserve">《信息技术大数据 数据治理实施指南》（GB/T 44109-2024）</w:t>
      </w:r>
      <w:r>
        <w:rPr>
          <w:sz w:val="24"/>
        </w:rPr>
      </w:r>
      <w:r/>
    </w:p>
    <w:p>
      <w:pPr>
        <w:pStyle w:val="915"/>
        <w:contextualSpacing/>
        <w:ind w:firstLine="480"/>
        <w:spacing w:line="360" w:lineRule="auto"/>
        <w:rPr>
          <w:sz w:val="24"/>
        </w:rPr>
      </w:pPr>
      <w:r>
        <w:rPr>
          <w:rFonts w:hint="eastAsia"/>
          <w:sz w:val="24"/>
        </w:rPr>
        <w:t xml:space="preserve">《数据安全技术 数据分类分级规则》（GB/T 43697-2024）</w:t>
      </w:r>
      <w:r>
        <w:rPr>
          <w:sz w:val="24"/>
        </w:rPr>
      </w:r>
      <w:r/>
    </w:p>
    <w:p>
      <w:pPr>
        <w:pStyle w:val="915"/>
        <w:contextualSpacing/>
        <w:ind w:firstLine="480"/>
        <w:spacing w:line="360" w:lineRule="auto"/>
        <w:rPr>
          <w:sz w:val="24"/>
        </w:rPr>
      </w:pPr>
      <w:r>
        <w:rPr>
          <w:rFonts w:hint="eastAsia"/>
          <w:sz w:val="24"/>
        </w:rPr>
        <w:t xml:space="preserve">《中华人民共和国民法典》；</w:t>
      </w:r>
      <w:r>
        <w:rPr>
          <w:sz w:val="24"/>
        </w:rPr>
      </w:r>
      <w:r/>
    </w:p>
    <w:p>
      <w:pPr>
        <w:pStyle w:val="915"/>
        <w:contextualSpacing/>
        <w:ind w:firstLine="480"/>
        <w:spacing w:line="360" w:lineRule="auto"/>
        <w:rPr>
          <w:sz w:val="24"/>
        </w:rPr>
      </w:pPr>
      <w:r>
        <w:rPr>
          <w:rFonts w:hint="eastAsia"/>
          <w:sz w:val="24"/>
        </w:rPr>
        <w:t xml:space="preserve">《电子病历基本架构与数据标准（试行）》（卫办发〔2009〕130号）；</w:t>
      </w:r>
      <w:r>
        <w:rPr>
          <w:sz w:val="24"/>
        </w:rPr>
      </w:r>
      <w:r/>
    </w:p>
    <w:p>
      <w:pPr>
        <w:pStyle w:val="915"/>
        <w:contextualSpacing/>
        <w:ind w:firstLine="480"/>
        <w:spacing w:line="360" w:lineRule="auto"/>
        <w:rPr>
          <w:sz w:val="24"/>
        </w:rPr>
      </w:pPr>
      <w:r>
        <w:rPr>
          <w:rFonts w:hint="eastAsia"/>
          <w:sz w:val="24"/>
        </w:rPr>
        <w:t xml:space="preserve">《医院信息互联互通标准化成熟度测评方案（试行）》；</w:t>
      </w:r>
      <w:r>
        <w:rPr>
          <w:sz w:val="24"/>
        </w:rPr>
      </w:r>
      <w:r/>
    </w:p>
    <w:p>
      <w:pPr>
        <w:pStyle w:val="915"/>
        <w:contextualSpacing/>
        <w:ind w:firstLine="480"/>
        <w:spacing w:line="360" w:lineRule="auto"/>
        <w:rPr>
          <w:sz w:val="24"/>
        </w:rPr>
      </w:pPr>
      <w:r>
        <w:rPr>
          <w:rFonts w:hint="eastAsia"/>
          <w:sz w:val="24"/>
        </w:rPr>
        <w:t xml:space="preserve">《电子病历系统功能规范（试行）》(卫医政发〔2010〕114号)；</w:t>
      </w:r>
      <w:r>
        <w:rPr>
          <w:sz w:val="24"/>
        </w:rPr>
      </w:r>
      <w:r/>
    </w:p>
    <w:p>
      <w:pPr>
        <w:pStyle w:val="915"/>
        <w:contextualSpacing/>
        <w:ind w:firstLine="480"/>
        <w:spacing w:line="360" w:lineRule="auto"/>
        <w:rPr>
          <w:sz w:val="24"/>
        </w:rPr>
      </w:pPr>
      <w:r>
        <w:rPr>
          <w:rFonts w:hint="eastAsia"/>
          <w:sz w:val="24"/>
        </w:rPr>
        <w:t xml:space="preserve">《基于电子病历的医院信息平台技术规范》（2012）；</w:t>
      </w:r>
      <w:r>
        <w:rPr>
          <w:sz w:val="24"/>
        </w:rPr>
      </w:r>
      <w:r/>
    </w:p>
    <w:p>
      <w:pPr>
        <w:pStyle w:val="915"/>
        <w:contextualSpacing/>
        <w:ind w:firstLine="480"/>
        <w:spacing w:line="360" w:lineRule="auto"/>
        <w:rPr>
          <w:sz w:val="24"/>
        </w:rPr>
      </w:pPr>
      <w:r>
        <w:rPr>
          <w:rFonts w:hint="eastAsia"/>
          <w:sz w:val="24"/>
        </w:rPr>
        <w:t xml:space="preserve">《三级医院评审标准（2023年版）》及其实施细则（江苏版）</w:t>
      </w:r>
      <w:r>
        <w:rPr>
          <w:sz w:val="24"/>
        </w:rPr>
      </w:r>
      <w:r/>
    </w:p>
    <w:p>
      <w:pPr>
        <w:pStyle w:val="915"/>
        <w:contextualSpacing/>
        <w:ind w:firstLine="480"/>
        <w:spacing w:line="360" w:lineRule="auto"/>
        <w:rPr>
          <w:sz w:val="24"/>
        </w:rPr>
      </w:pPr>
      <w:r>
        <w:rPr>
          <w:rFonts w:hint="eastAsia"/>
          <w:sz w:val="24"/>
        </w:rPr>
        <w:t xml:space="preserve">《三级医院评审标准（2022年版）》及其实施细则（国家版）</w:t>
      </w:r>
      <w:r>
        <w:rPr>
          <w:sz w:val="24"/>
        </w:rPr>
      </w:r>
      <w:r/>
    </w:p>
    <w:p>
      <w:pPr>
        <w:pStyle w:val="915"/>
        <w:contextualSpacing/>
        <w:ind w:firstLine="480"/>
        <w:spacing w:line="360" w:lineRule="auto"/>
        <w:rPr>
          <w:sz w:val="24"/>
        </w:rPr>
      </w:pPr>
      <w:r>
        <w:rPr>
          <w:rFonts w:hint="eastAsia"/>
          <w:sz w:val="24"/>
        </w:rPr>
        <w:t xml:space="preserve">《GBT22239-2019信息安全技术网络安全等级保护基本要求》；</w:t>
      </w:r>
      <w:r>
        <w:rPr>
          <w:sz w:val="24"/>
        </w:rPr>
      </w:r>
      <w:r/>
    </w:p>
    <w:p>
      <w:pPr>
        <w:pStyle w:val="915"/>
        <w:contextualSpacing/>
        <w:ind w:firstLine="480"/>
        <w:spacing w:line="360" w:lineRule="auto"/>
        <w:rPr>
          <w:sz w:val="24"/>
        </w:rPr>
      </w:pPr>
      <w:r>
        <w:rPr>
          <w:rFonts w:hint="eastAsia"/>
          <w:sz w:val="24"/>
        </w:rPr>
        <w:t xml:space="preserve">《健康医疗数据安全指南-标准文本20190404》；</w:t>
      </w:r>
      <w:r>
        <w:rPr>
          <w:sz w:val="24"/>
        </w:rPr>
      </w:r>
      <w:r/>
    </w:p>
    <w:p>
      <w:pPr>
        <w:pStyle w:val="915"/>
        <w:contextualSpacing/>
        <w:ind w:firstLine="480"/>
        <w:spacing w:line="360" w:lineRule="auto"/>
        <w:rPr>
          <w:sz w:val="24"/>
        </w:rPr>
      </w:pPr>
      <w:r>
        <w:rPr>
          <w:rFonts w:hint="eastAsia"/>
          <w:sz w:val="24"/>
        </w:rPr>
        <w:t xml:space="preserve">《智慧重症监护病房建设规范》；</w:t>
      </w:r>
      <w:r>
        <w:rPr>
          <w:sz w:val="24"/>
        </w:rPr>
      </w:r>
      <w:r/>
    </w:p>
    <w:p>
      <w:pPr>
        <w:pStyle w:val="915"/>
        <w:contextualSpacing/>
        <w:ind w:firstLine="480"/>
        <w:spacing w:line="360" w:lineRule="auto"/>
        <w:rPr>
          <w:sz w:val="24"/>
        </w:rPr>
      </w:pPr>
      <w:r>
        <w:rPr>
          <w:rFonts w:hint="eastAsia"/>
          <w:sz w:val="24"/>
        </w:rPr>
        <w:t xml:space="preserve">《WS 363-2011 卫生信息数据元目录》；</w:t>
      </w:r>
      <w:r>
        <w:rPr>
          <w:sz w:val="24"/>
        </w:rPr>
      </w:r>
      <w:r/>
    </w:p>
    <w:p>
      <w:pPr>
        <w:pStyle w:val="915"/>
        <w:contextualSpacing/>
        <w:ind w:firstLine="480"/>
        <w:spacing w:line="360" w:lineRule="auto"/>
        <w:rPr>
          <w:sz w:val="24"/>
        </w:rPr>
      </w:pPr>
      <w:r>
        <w:rPr>
          <w:rFonts w:hint="eastAsia"/>
          <w:sz w:val="24"/>
        </w:rPr>
        <w:t xml:space="preserve">《WS 364-2011 卫生信息数据元值域代码》；</w:t>
      </w:r>
      <w:r>
        <w:rPr>
          <w:sz w:val="24"/>
        </w:rPr>
      </w:r>
      <w:r/>
    </w:p>
    <w:p>
      <w:pPr>
        <w:pStyle w:val="915"/>
        <w:contextualSpacing/>
        <w:ind w:firstLine="480"/>
        <w:spacing w:line="360" w:lineRule="auto"/>
        <w:rPr>
          <w:sz w:val="24"/>
        </w:rPr>
      </w:pPr>
      <w:r>
        <w:rPr>
          <w:rFonts w:hint="eastAsia"/>
          <w:sz w:val="24"/>
        </w:rPr>
        <w:t xml:space="preserve">《WS371-2012 基本信息基本数据集》；</w:t>
      </w:r>
      <w:r>
        <w:rPr>
          <w:sz w:val="24"/>
        </w:rPr>
      </w:r>
      <w:r/>
    </w:p>
    <w:p>
      <w:pPr>
        <w:pStyle w:val="915"/>
        <w:contextualSpacing/>
        <w:ind w:firstLine="480"/>
        <w:spacing w:line="360" w:lineRule="auto"/>
        <w:rPr>
          <w:sz w:val="24"/>
        </w:rPr>
      </w:pPr>
      <w:r>
        <w:rPr>
          <w:rFonts w:hint="eastAsia"/>
          <w:sz w:val="24"/>
        </w:rPr>
        <w:t xml:space="preserve">《WS372-2012 疾病管理基本数据集》；</w:t>
      </w:r>
      <w:r>
        <w:rPr>
          <w:sz w:val="24"/>
        </w:rPr>
      </w:r>
      <w:r/>
    </w:p>
    <w:p>
      <w:pPr>
        <w:pStyle w:val="915"/>
        <w:contextualSpacing/>
        <w:ind w:firstLine="480"/>
        <w:spacing w:line="360" w:lineRule="auto"/>
        <w:rPr>
          <w:sz w:val="24"/>
        </w:rPr>
      </w:pPr>
      <w:r>
        <w:rPr>
          <w:rFonts w:hint="eastAsia"/>
          <w:sz w:val="24"/>
        </w:rPr>
        <w:t xml:space="preserve">《WS373-2012 医疗服务基本数据集》；</w:t>
      </w:r>
      <w:r>
        <w:rPr>
          <w:sz w:val="24"/>
        </w:rPr>
      </w:r>
      <w:r/>
    </w:p>
    <w:p>
      <w:pPr>
        <w:pStyle w:val="915"/>
        <w:contextualSpacing/>
        <w:ind w:firstLine="480"/>
        <w:spacing w:line="360" w:lineRule="auto"/>
        <w:rPr>
          <w:sz w:val="24"/>
        </w:rPr>
      </w:pPr>
      <w:r>
        <w:rPr>
          <w:rFonts w:hint="eastAsia"/>
          <w:sz w:val="24"/>
        </w:rPr>
        <w:t xml:space="preserve">《WS374-2012 卫生管理基本数据集》；</w:t>
      </w:r>
      <w:r>
        <w:rPr>
          <w:sz w:val="24"/>
        </w:rPr>
      </w:r>
      <w:r/>
    </w:p>
    <w:p>
      <w:pPr>
        <w:pStyle w:val="915"/>
        <w:contextualSpacing/>
        <w:ind w:firstLine="480"/>
        <w:spacing w:line="360" w:lineRule="auto"/>
        <w:rPr>
          <w:sz w:val="24"/>
        </w:rPr>
      </w:pPr>
      <w:r>
        <w:rPr>
          <w:rFonts w:hint="eastAsia"/>
          <w:sz w:val="24"/>
        </w:rPr>
        <w:t xml:space="preserve">《WS375-2012 疾病控制基本数据集》；</w:t>
      </w:r>
      <w:r>
        <w:rPr>
          <w:sz w:val="24"/>
        </w:rPr>
      </w:r>
      <w:r/>
    </w:p>
    <w:p>
      <w:pPr>
        <w:pStyle w:val="915"/>
        <w:contextualSpacing/>
        <w:spacing w:line="360" w:lineRule="auto"/>
        <w:rPr>
          <w:sz w:val="24"/>
        </w:rPr>
      </w:pPr>
      <w:r>
        <w:rPr>
          <w:rFonts w:hint="eastAsia"/>
          <w:sz w:val="24"/>
        </w:rPr>
        <w:t xml:space="preserve"> </w:t>
      </w:r>
      <w:r>
        <w:rPr>
          <w:sz w:val="24"/>
        </w:rPr>
        <w:t xml:space="preserve">  </w:t>
      </w:r>
      <w:r>
        <w:rPr>
          <w:rFonts w:hint="eastAsia"/>
          <w:sz w:val="24"/>
        </w:rPr>
        <w:t xml:space="preserve">满足HL7\DICOM\ICD10\ICD9、HL7CDA文档等；</w:t>
      </w:r>
      <w:r>
        <w:rPr>
          <w:sz w:val="24"/>
        </w:rPr>
      </w:r>
      <w:r/>
    </w:p>
    <w:p>
      <w:pPr>
        <w:pStyle w:val="915"/>
        <w:ind w:firstLine="482"/>
        <w:spacing w:line="360" w:lineRule="auto"/>
        <w:rPr>
          <w:b/>
          <w:color w:val="000000"/>
          <w:sz w:val="24"/>
          <w:szCs w:val="24"/>
        </w:rPr>
        <w:outlineLvl w:val="1"/>
      </w:pPr>
      <w:r>
        <w:rPr>
          <w:b/>
          <w:color w:val="000000"/>
          <w:sz w:val="24"/>
          <w:szCs w:val="24"/>
        </w:rPr>
        <w:t xml:space="preserve">1</w:t>
      </w:r>
      <w:r>
        <w:rPr>
          <w:rFonts w:hint="eastAsia"/>
          <w:b/>
          <w:color w:val="000000"/>
          <w:sz w:val="24"/>
          <w:szCs w:val="24"/>
        </w:rPr>
        <w:t xml:space="preserve">.</w:t>
      </w:r>
      <w:r>
        <w:rPr>
          <w:b/>
          <w:color w:val="000000"/>
          <w:sz w:val="24"/>
          <w:szCs w:val="24"/>
        </w:rPr>
        <w:t xml:space="preserve">3</w:t>
      </w:r>
      <w:r>
        <w:rPr>
          <w:rFonts w:hint="eastAsia"/>
          <w:b/>
          <w:color w:val="000000"/>
          <w:sz w:val="24"/>
          <w:szCs w:val="24"/>
        </w:rPr>
        <w:t xml:space="preserve">项目总体要求</w:t>
      </w:r>
      <w:r>
        <w:rPr>
          <w:b/>
          <w:color w:val="000000"/>
          <w:sz w:val="24"/>
          <w:szCs w:val="24"/>
        </w:rPr>
      </w:r>
      <w:r/>
    </w:p>
    <w:p>
      <w:pPr>
        <w:pStyle w:val="915"/>
        <w:contextualSpacing/>
        <w:ind w:firstLine="480"/>
        <w:spacing w:line="360" w:lineRule="auto"/>
        <w:rPr>
          <w:rFonts w:hint="eastAsia" w:ascii="宋体" w:hAnsi="宋体" w:cs="宋体"/>
          <w:color w:val="000000"/>
          <w:sz w:val="24"/>
        </w:rPr>
      </w:pPr>
      <w:r>
        <w:rPr>
          <w:rFonts w:hint="eastAsia" w:ascii="宋体" w:hAnsi="宋体" w:cs="宋体"/>
          <w:color w:val="000000"/>
          <w:sz w:val="24"/>
        </w:rPr>
        <w:t xml:space="preserve">1.★本项目不可转包、分包、不支持联合体投标</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915"/>
        <w:contextualSpacing/>
        <w:ind w:firstLine="480"/>
        <w:spacing w:line="360" w:lineRule="auto"/>
        <w:rPr>
          <w:rFonts w:hint="eastAsia" w:ascii="宋体" w:hAnsi="宋体" w:cs="宋体"/>
          <w:color w:val="000000"/>
          <w:sz w:val="24"/>
        </w:rPr>
      </w:pPr>
      <w:r>
        <w:rPr>
          <w:rFonts w:hint="eastAsia" w:ascii="宋体" w:hAnsi="宋体" w:cs="宋体"/>
          <w:color w:val="000000"/>
          <w:sz w:val="24"/>
        </w:rPr>
        <w:t xml:space="preserve">2.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rPr>
          <w:rFonts w:hint="eastAsia" w:ascii="宋体" w:hAnsi="宋体" w:cs="宋体"/>
          <w:color w:val="000000"/>
          <w:sz w:val="24"/>
        </w:rPr>
      </w:r>
      <w:r/>
    </w:p>
    <w:p>
      <w:pPr>
        <w:pStyle w:val="915"/>
        <w:contextualSpacing/>
        <w:ind w:firstLine="480"/>
        <w:spacing w:line="360" w:lineRule="auto"/>
        <w:rPr>
          <w:rFonts w:hint="eastAsia" w:ascii="宋体" w:hAnsi="宋体" w:cs="宋体"/>
          <w:color w:val="000000"/>
          <w:sz w:val="24"/>
        </w:rPr>
      </w:pPr>
      <w:r>
        <w:rPr>
          <w:rFonts w:hint="eastAsia" w:ascii="宋体" w:hAnsi="宋体" w:cs="宋体"/>
          <w:color w:val="000000"/>
          <w:sz w:val="24"/>
        </w:rPr>
        <w:t xml:space="preserve">3.★报价内容包括但不限于相关软硬件新购、搬运、集成、测试、数据迁移、第三方软件功能及接口改造、系统切换，以及相关的辅助材料、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915"/>
        <w:contextualSpacing/>
        <w:ind w:firstLine="480"/>
        <w:spacing w:line="360" w:lineRule="auto"/>
        <w:rPr>
          <w:rFonts w:ascii="宋体" w:hAnsi="宋体" w:cs="宋体"/>
          <w:color w:val="000000"/>
          <w:sz w:val="24"/>
        </w:rPr>
      </w:pPr>
      <w:r>
        <w:rPr>
          <w:rFonts w:hint="eastAsia" w:ascii="宋体" w:hAnsi="宋体" w:cs="宋体"/>
          <w:color w:val="000000"/>
          <w:sz w:val="24"/>
        </w:rPr>
        <w:t xml:space="preserve">4.★本次招标涉及的系统不能有使用终端数、操作账号数、在线会话数量等限制，不收取任何关于软件的授权、序列号、认证等一切相关的费用</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rPr>
          <w:rFonts w:ascii="宋体" w:hAnsi="宋体" w:cs="宋体"/>
          <w:color w:val="000000"/>
          <w:sz w:val="24"/>
        </w:rPr>
      </w:r>
      <w:r/>
    </w:p>
    <w:p>
      <w:pPr>
        <w:pStyle w:val="915"/>
        <w:contextualSpacing/>
        <w:ind w:firstLine="480"/>
        <w:spacing w:line="360" w:lineRule="auto"/>
        <w:rPr>
          <w:rFonts w:hint="eastAsia" w:ascii="宋体" w:hAnsi="宋体" w:cs="宋体"/>
          <w:color w:val="000000"/>
          <w:sz w:val="24"/>
        </w:rPr>
      </w:pPr>
      <w:r>
        <w:rPr>
          <w:rFonts w:hint="eastAsia" w:ascii="宋体" w:hAnsi="宋体" w:cs="宋体"/>
          <w:color w:val="000000"/>
          <w:sz w:val="24"/>
        </w:rPr>
        <w:t xml:space="preserve">5.★本项目投标人须派至少一位工程师驻场，提供3年线下驻场维保服务。及时响应甲方所提需求及处理系统出现的各类问题</w:t>
      </w:r>
      <w:r>
        <w:rPr>
          <w:rFonts w:hint="eastAsia" w:ascii="宋体" w:hAnsi="宋体" w:cs="宋体"/>
          <w:b/>
          <w:bCs/>
          <w:color w:val="000000"/>
          <w:sz w:val="24"/>
        </w:rPr>
        <w:t xml:space="preserve">（投标人需出具质保期内工程师驻场服务承诺函、驻场工程师近3个月内的任意1个月在投标人单位工作的社保证明并加盖投标人公章）</w:t>
      </w:r>
      <w:r>
        <w:rPr>
          <w:rFonts w:hint="eastAsia" w:ascii="宋体" w:hAnsi="宋体" w:cs="宋体"/>
          <w:color w:val="000000"/>
          <w:sz w:val="24"/>
        </w:rPr>
        <w:t xml:space="preserve">。</w:t>
      </w:r>
      <w:r>
        <w:rPr>
          <w:rFonts w:hint="eastAsia" w:ascii="宋体" w:hAnsi="宋体" w:cs="宋体"/>
          <w:color w:val="000000"/>
          <w:sz w:val="24"/>
        </w:rPr>
      </w:r>
      <w:r/>
    </w:p>
    <w:p>
      <w:pPr>
        <w:pStyle w:val="915"/>
        <w:contextualSpacing/>
        <w:ind w:firstLine="480"/>
        <w:spacing w:line="360" w:lineRule="auto"/>
        <w:rPr>
          <w:rFonts w:ascii="宋体" w:hAnsi="宋体" w:cs="宋体"/>
          <w:color w:val="000000"/>
          <w:lang w:bidi="ar"/>
        </w:rPr>
      </w:pPr>
      <w:r>
        <w:rPr>
          <w:rFonts w:hint="eastAsia" w:ascii="宋体" w:hAnsi="宋体" w:cs="宋体"/>
          <w:color w:val="000000"/>
          <w:sz w:val="24"/>
        </w:rPr>
        <w:t xml:space="preserve">6.★系统在运行中如发现有安全漏洞，需24小时之内完成整改</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rPr>
          <w:rFonts w:ascii="宋体" w:hAnsi="宋体" w:cs="宋体"/>
          <w:color w:val="000000"/>
          <w:lang w:bidi="ar"/>
        </w:rPr>
      </w:r>
      <w:r/>
    </w:p>
    <w:p>
      <w:pPr>
        <w:pStyle w:val="915"/>
        <w:contextualSpacing/>
        <w:ind w:firstLine="480"/>
        <w:spacing w:line="360" w:lineRule="auto"/>
        <w:rPr>
          <w:rFonts w:ascii="宋体" w:hAnsi="宋体" w:cs="宋体"/>
          <w:color w:val="000000"/>
          <w:sz w:val="24"/>
        </w:rPr>
      </w:pPr>
      <w:r>
        <w:rPr>
          <w:rFonts w:hint="eastAsia" w:ascii="宋体" w:hAnsi="宋体" w:cs="宋体"/>
          <w:color w:val="000000"/>
          <w:sz w:val="24"/>
        </w:rPr>
        <w:t xml:space="preserve">7.★免费维保期结束后若仍由该投标人维保，则至少有一位工程师驻场维护且每年维保费不高于合同总价的10%，维保期间提供硬件免费包修包换和软件支持服务</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rPr>
          <w:rFonts w:ascii="宋体" w:hAnsi="宋体" w:cs="宋体"/>
          <w:color w:val="000000"/>
          <w:sz w:val="24"/>
        </w:rPr>
      </w:r>
      <w:r/>
    </w:p>
    <w:p>
      <w:pPr>
        <w:pStyle w:val="915"/>
        <w:contextualSpacing/>
        <w:ind w:firstLine="480"/>
        <w:spacing w:line="360" w:lineRule="auto"/>
        <w:rPr>
          <w:rFonts w:hint="eastAsia"/>
          <w:sz w:val="24"/>
        </w:rPr>
      </w:pPr>
      <w:r>
        <w:rPr>
          <w:rFonts w:hint="eastAsia"/>
          <w:sz w:val="24"/>
        </w:rPr>
      </w:r>
      <w:r/>
    </w:p>
    <w:p>
      <w:pPr>
        <w:pStyle w:val="915"/>
        <w:rPr>
          <w:sz w:val="24"/>
        </w:rPr>
      </w:pPr>
      <w:r>
        <w:rPr>
          <w:sz w:val="24"/>
        </w:rPr>
        <w:t xml:space="preserve">2. 服务内容及要求/货物技术要求</w:t>
      </w:r>
      <w:r>
        <w:rPr>
          <w:sz w:val="24"/>
        </w:rPr>
      </w:r>
      <w:r/>
    </w:p>
    <w:p>
      <w:pPr>
        <w:pStyle w:val="915"/>
        <w:ind w:firstLine="480"/>
        <w:spacing w:line="360" w:lineRule="auto"/>
        <w:rPr>
          <w:rFonts w:ascii="宋体" w:hAnsi="宋体"/>
          <w:color w:val="000000"/>
          <w:sz w:val="24"/>
          <w:szCs w:val="28"/>
        </w:rPr>
      </w:pPr>
      <w:r>
        <w:rPr>
          <w:rFonts w:hint="eastAsia"/>
          <w:sz w:val="24"/>
        </w:rPr>
        <w:t xml:space="preserve">2</w:t>
      </w:r>
      <w:r>
        <w:rPr>
          <w:sz w:val="24"/>
        </w:rPr>
        <w:t xml:space="preserve">.1</w:t>
      </w:r>
      <w:r>
        <w:rPr>
          <w:rFonts w:hint="eastAsia" w:ascii="宋体" w:hAnsi="宋体"/>
          <w:color w:val="000000"/>
          <w:sz w:val="24"/>
          <w:szCs w:val="28"/>
        </w:rPr>
        <w:t xml:space="preserve">项目建设目标</w:t>
      </w:r>
      <w:r>
        <w:rPr>
          <w:rFonts w:ascii="宋体" w:hAnsi="宋体"/>
          <w:color w:val="000000"/>
          <w:sz w:val="24"/>
          <w:szCs w:val="28"/>
        </w:rPr>
      </w:r>
      <w:r/>
    </w:p>
    <w:p>
      <w:pPr>
        <w:pStyle w:val="915"/>
        <w:ind w:firstLine="480"/>
        <w:spacing w:line="360" w:lineRule="auto"/>
        <w:rPr>
          <w:rFonts w:ascii="宋体" w:hAnsi="宋体"/>
          <w:color w:val="000000"/>
          <w:sz w:val="24"/>
          <w:szCs w:val="28"/>
        </w:rPr>
      </w:pPr>
      <w:r>
        <w:rPr>
          <w:rFonts w:hint="eastAsia" w:ascii="宋体" w:hAnsi="宋体"/>
          <w:color w:val="000000"/>
          <w:sz w:val="24"/>
          <w:szCs w:val="28"/>
        </w:rPr>
        <w:t xml:space="preserve">为</w:t>
      </w:r>
      <w:r>
        <w:rPr>
          <w:rFonts w:ascii="宋体" w:hAnsi="宋体"/>
          <w:color w:val="000000"/>
          <w:sz w:val="24"/>
        </w:rPr>
        <w:t xml:space="preserve">进一步提升</w:t>
      </w:r>
      <w:r>
        <w:rPr>
          <w:rFonts w:hint="eastAsia" w:ascii="宋体" w:hAnsi="宋体"/>
          <w:color w:val="000000"/>
          <w:sz w:val="24"/>
        </w:rPr>
        <w:t xml:space="preserve">常州市第一人民医院的</w:t>
      </w:r>
      <w:r>
        <w:rPr>
          <w:rFonts w:ascii="宋体" w:hAnsi="宋体"/>
          <w:color w:val="000000"/>
          <w:sz w:val="24"/>
        </w:rPr>
        <w:t xml:space="preserve">医疗服务质量和效率，</w:t>
      </w:r>
      <w:r>
        <w:rPr>
          <w:color w:val="000000"/>
          <w:sz w:val="24"/>
        </w:rPr>
        <w:t xml:space="preserve">‌</w:t>
      </w:r>
      <w:r>
        <w:rPr>
          <w:rFonts w:ascii="宋体" w:hAnsi="宋体"/>
          <w:color w:val="000000"/>
          <w:sz w:val="24"/>
        </w:rPr>
        <w:t xml:space="preserve">优化患者就医体验，</w:t>
      </w:r>
      <w:r>
        <w:rPr>
          <w:rFonts w:ascii="宋体" w:hAnsi="宋体"/>
          <w:color w:val="000000"/>
          <w:sz w:val="24"/>
          <w:szCs w:val="28"/>
        </w:rPr>
        <w:t xml:space="preserve">通过引入先进的信息技术，</w:t>
      </w:r>
      <w:r>
        <w:rPr>
          <w:color w:val="000000"/>
          <w:sz w:val="24"/>
          <w:szCs w:val="28"/>
        </w:rPr>
        <w:t xml:space="preserve">‌</w:t>
      </w:r>
      <w:r>
        <w:rPr>
          <w:rFonts w:ascii="宋体" w:hAnsi="宋体"/>
          <w:color w:val="000000"/>
          <w:sz w:val="24"/>
          <w:szCs w:val="28"/>
        </w:rPr>
        <w:t xml:space="preserve">提升医院病房的管理效率与患者护理体验</w:t>
      </w:r>
      <w:r>
        <w:rPr>
          <w:rFonts w:hint="eastAsia" w:ascii="宋体" w:hAnsi="宋体"/>
          <w:color w:val="000000"/>
          <w:sz w:val="24"/>
          <w:szCs w:val="28"/>
        </w:rPr>
        <w:t xml:space="preserve">，</w:t>
      </w:r>
      <w:r>
        <w:rPr>
          <w:color w:val="000000"/>
          <w:sz w:val="24"/>
          <w:szCs w:val="28"/>
        </w:rPr>
        <w:t xml:space="preserve">‌</w:t>
      </w:r>
      <w:r>
        <w:rPr>
          <w:rFonts w:ascii="宋体" w:hAnsi="宋体"/>
          <w:color w:val="000000"/>
          <w:sz w:val="24"/>
          <w:szCs w:val="28"/>
        </w:rPr>
        <w:t xml:space="preserve">项目涵盖</w:t>
      </w:r>
      <w:r>
        <w:rPr>
          <w:rFonts w:hint="eastAsia" w:ascii="宋体" w:hAnsi="宋体"/>
          <w:color w:val="000000"/>
          <w:sz w:val="24"/>
          <w:szCs w:val="28"/>
        </w:rPr>
        <w:t xml:space="preserve">病区网络改造服务、病房呼叫系统服务、病区智能交互系统服务、智慧输液系统服务、人员定位系统服务</w:t>
      </w:r>
      <w:r>
        <w:rPr>
          <w:rFonts w:ascii="宋体" w:hAnsi="宋体"/>
          <w:color w:val="000000"/>
          <w:sz w:val="24"/>
          <w:szCs w:val="28"/>
        </w:rPr>
        <w:t xml:space="preserve">等多方面，</w:t>
      </w:r>
      <w:r>
        <w:rPr>
          <w:color w:val="000000"/>
          <w:sz w:val="24"/>
          <w:szCs w:val="28"/>
        </w:rPr>
        <w:t xml:space="preserve">‌</w:t>
      </w:r>
      <w:r>
        <w:rPr>
          <w:rFonts w:ascii="宋体" w:hAnsi="宋体"/>
          <w:color w:val="000000"/>
          <w:sz w:val="24"/>
          <w:szCs w:val="28"/>
        </w:rPr>
        <w:t xml:space="preserve">要求投标方具备强大的系统集成能力、</w:t>
      </w:r>
      <w:r>
        <w:rPr>
          <w:color w:val="000000"/>
          <w:sz w:val="24"/>
          <w:szCs w:val="28"/>
        </w:rPr>
        <w:t xml:space="preserve">‌</w:t>
      </w:r>
      <w:r>
        <w:rPr>
          <w:rFonts w:ascii="宋体" w:hAnsi="宋体"/>
          <w:color w:val="000000"/>
          <w:sz w:val="24"/>
          <w:szCs w:val="28"/>
        </w:rPr>
        <w:t xml:space="preserve">丰富的项目经验及完善的售后服务体系。</w:t>
      </w:r>
      <w:r>
        <w:rPr>
          <w:color w:val="000000"/>
          <w:sz w:val="24"/>
          <w:szCs w:val="28"/>
        </w:rPr>
        <w:t xml:space="preserve">‌</w:t>
      </w:r>
      <w:r>
        <w:rPr>
          <w:rFonts w:ascii="宋体" w:hAnsi="宋体"/>
          <w:color w:val="000000"/>
          <w:sz w:val="24"/>
          <w:szCs w:val="28"/>
        </w:rPr>
        <w:t xml:space="preserve">招标过程中，</w:t>
      </w:r>
      <w:r>
        <w:rPr>
          <w:color w:val="000000"/>
          <w:sz w:val="24"/>
          <w:szCs w:val="28"/>
        </w:rPr>
        <w:t xml:space="preserve">‌</w:t>
      </w:r>
      <w:r>
        <w:rPr>
          <w:rFonts w:ascii="宋体" w:hAnsi="宋体"/>
          <w:color w:val="000000"/>
          <w:sz w:val="24"/>
          <w:szCs w:val="28"/>
        </w:rPr>
        <w:t xml:space="preserve">将严格审查投标方的资质、</w:t>
      </w:r>
      <w:r>
        <w:rPr>
          <w:color w:val="000000"/>
          <w:sz w:val="24"/>
          <w:szCs w:val="28"/>
        </w:rPr>
        <w:t xml:space="preserve">‌</w:t>
      </w:r>
      <w:r>
        <w:rPr>
          <w:rFonts w:ascii="宋体" w:hAnsi="宋体"/>
          <w:color w:val="000000"/>
          <w:sz w:val="24"/>
          <w:szCs w:val="28"/>
        </w:rPr>
        <w:t xml:space="preserve">技术实力及过往案例，</w:t>
      </w:r>
      <w:r>
        <w:rPr>
          <w:color w:val="000000"/>
          <w:sz w:val="24"/>
          <w:szCs w:val="28"/>
        </w:rPr>
        <w:t xml:space="preserve">‌</w:t>
      </w:r>
      <w:r>
        <w:rPr>
          <w:rFonts w:ascii="宋体" w:hAnsi="宋体"/>
          <w:color w:val="000000"/>
          <w:sz w:val="24"/>
          <w:szCs w:val="28"/>
        </w:rPr>
        <w:t xml:space="preserve">确保中标方能够高质量完成项目建设。</w:t>
      </w:r>
      <w:r>
        <w:rPr>
          <w:color w:val="000000"/>
          <w:sz w:val="24"/>
          <w:szCs w:val="28"/>
        </w:rPr>
        <w:t xml:space="preserve">‌</w:t>
      </w:r>
      <w:r>
        <w:rPr>
          <w:rFonts w:ascii="宋体" w:hAnsi="宋体"/>
          <w:color w:val="000000"/>
          <w:sz w:val="24"/>
          <w:szCs w:val="28"/>
        </w:rPr>
        <w:t xml:space="preserve">项目完成后，</w:t>
      </w:r>
      <w:r>
        <w:rPr>
          <w:color w:val="000000"/>
          <w:sz w:val="24"/>
          <w:szCs w:val="28"/>
        </w:rPr>
        <w:t xml:space="preserve">‌</w:t>
      </w:r>
      <w:r>
        <w:rPr>
          <w:rFonts w:ascii="宋体" w:hAnsi="宋体"/>
          <w:color w:val="000000"/>
          <w:sz w:val="24"/>
          <w:szCs w:val="28"/>
        </w:rPr>
        <w:t xml:space="preserve">将显著提升医疗资源的利用效率，</w:t>
      </w:r>
      <w:r>
        <w:rPr>
          <w:color w:val="000000"/>
          <w:sz w:val="24"/>
          <w:szCs w:val="28"/>
        </w:rPr>
        <w:t xml:space="preserve">‌</w:t>
      </w:r>
      <w:r>
        <w:rPr>
          <w:rFonts w:ascii="宋体" w:hAnsi="宋体"/>
          <w:color w:val="000000"/>
          <w:sz w:val="24"/>
          <w:szCs w:val="28"/>
        </w:rPr>
        <w:t xml:space="preserve">为患者提供更加安全、</w:t>
      </w:r>
      <w:r>
        <w:rPr>
          <w:color w:val="000000"/>
          <w:sz w:val="24"/>
          <w:szCs w:val="28"/>
        </w:rPr>
        <w:t xml:space="preserve">‌</w:t>
      </w:r>
      <w:r>
        <w:rPr>
          <w:rFonts w:ascii="宋体" w:hAnsi="宋体"/>
          <w:color w:val="000000"/>
          <w:sz w:val="24"/>
          <w:szCs w:val="28"/>
        </w:rPr>
        <w:t xml:space="preserve">便捷、</w:t>
      </w:r>
      <w:r>
        <w:rPr>
          <w:color w:val="000000"/>
          <w:sz w:val="24"/>
          <w:szCs w:val="28"/>
        </w:rPr>
        <w:t xml:space="preserve">‌</w:t>
      </w:r>
      <w:r>
        <w:rPr>
          <w:rFonts w:ascii="宋体" w:hAnsi="宋体"/>
          <w:color w:val="000000"/>
          <w:sz w:val="24"/>
          <w:szCs w:val="28"/>
        </w:rPr>
        <w:t xml:space="preserve">高效的医疗服务。</w:t>
      </w:r>
      <w:r>
        <w:rPr>
          <w:color w:val="000000"/>
          <w:sz w:val="24"/>
          <w:szCs w:val="28"/>
        </w:rPr>
        <w:t xml:space="preserve">‌</w:t>
      </w:r>
      <w:r>
        <w:rPr>
          <w:rFonts w:ascii="宋体" w:hAnsi="宋体"/>
          <w:color w:val="000000"/>
          <w:sz w:val="24"/>
          <w:szCs w:val="28"/>
        </w:rPr>
      </w:r>
      <w:r/>
    </w:p>
    <w:p>
      <w:pPr>
        <w:pStyle w:val="915"/>
        <w:ind w:firstLine="480"/>
        <w:spacing w:line="360" w:lineRule="auto"/>
        <w:rPr>
          <w:rFonts w:ascii="宋体" w:hAnsi="宋体"/>
          <w:color w:val="000000"/>
          <w:sz w:val="24"/>
          <w:szCs w:val="28"/>
        </w:rPr>
      </w:pPr>
      <w:r>
        <w:rPr>
          <w:rFonts w:hint="eastAsia" w:ascii="宋体" w:hAnsi="宋体"/>
          <w:color w:val="000000"/>
          <w:sz w:val="24"/>
          <w:szCs w:val="28"/>
        </w:rPr>
        <w:t xml:space="preserve">该系统应为软硬件结合的综合服务方案，整套系统实现多个场景下的信息实时交互，为每病区配置一套，支持与HIS系统对接联网，实现患者信息管理、医护信息管理、呼叫信息管理、数据统计、人机交互、应用扩展、数据共享等功能。</w:t>
      </w:r>
      <w:r>
        <w:rPr>
          <w:rFonts w:ascii="宋体" w:hAnsi="宋体"/>
          <w:color w:val="000000"/>
          <w:sz w:val="24"/>
          <w:szCs w:val="28"/>
        </w:rPr>
      </w:r>
      <w:r/>
    </w:p>
    <w:p>
      <w:pPr>
        <w:pStyle w:val="915"/>
        <w:ind w:firstLine="480"/>
        <w:spacing w:line="360" w:lineRule="auto"/>
        <w:rPr>
          <w:rFonts w:ascii="宋体" w:hAnsi="宋体"/>
          <w:color w:val="000000"/>
          <w:sz w:val="24"/>
          <w:szCs w:val="28"/>
        </w:rPr>
      </w:pPr>
      <w:r>
        <w:rPr>
          <w:rFonts w:hint="eastAsia" w:ascii="宋体" w:hAnsi="宋体"/>
          <w:color w:val="000000"/>
          <w:sz w:val="24"/>
          <w:szCs w:val="28"/>
        </w:rPr>
        <w:t xml:space="preserve">所有设备支持7*24小时连续运行，系统维护时不影响其他设备正常使用。以期加强病房服务与管理能力，为智慧病房的建设与持续升级扩展，打下良好基础。</w:t>
      </w:r>
      <w:r>
        <w:rPr>
          <w:rFonts w:ascii="宋体" w:hAnsi="宋体"/>
          <w:color w:val="000000"/>
          <w:sz w:val="24"/>
          <w:szCs w:val="28"/>
        </w:rPr>
      </w:r>
      <w:r/>
    </w:p>
    <w:p>
      <w:pPr>
        <w:pStyle w:val="915"/>
        <w:ind w:firstLine="480"/>
        <w:spacing w:line="360" w:lineRule="auto"/>
        <w:rPr>
          <w:rFonts w:ascii="宋体" w:hAnsi="宋体"/>
          <w:color w:val="000000"/>
          <w:sz w:val="24"/>
          <w:szCs w:val="28"/>
        </w:rPr>
      </w:pPr>
      <w:r>
        <w:rPr>
          <w:rFonts w:hint="eastAsia" w:ascii="宋体" w:hAnsi="宋体"/>
          <w:color w:val="000000"/>
          <w:sz w:val="24"/>
          <w:szCs w:val="28"/>
        </w:rPr>
        <w:t xml:space="preserve">项目建设涵盖病区网络改造、病房呼叫系统、病区智能交互系统、智慧输液系统、人员定位系统等方面的软件建设、硬件采购、软硬及网络的应用集成，建设病区如下：</w:t>
      </w:r>
      <w:r>
        <w:rPr>
          <w:rFonts w:ascii="宋体" w:hAnsi="宋体"/>
          <w:color w:val="000000"/>
          <w:sz w:val="24"/>
          <w:szCs w:val="28"/>
        </w:rPr>
      </w:r>
      <w:r/>
    </w:p>
    <w:tbl>
      <w:tblPr>
        <w:tblW w:w="0" w:type="auto"/>
        <w:tblInd w:w="-17" w:type="dxa"/>
        <w:tblLayout w:type="fixed"/>
        <w:tblCellMar>
          <w:left w:w="108" w:type="dxa"/>
          <w:top w:w="0" w:type="dxa"/>
          <w:right w:w="108" w:type="dxa"/>
          <w:bottom w:w="0" w:type="dxa"/>
        </w:tblCellMar>
        <w:tblLook w:val="04A0" w:firstRow="1" w:lastRow="0" w:firstColumn="1" w:lastColumn="0" w:noHBand="0" w:noVBand="1"/>
      </w:tblPr>
      <w:tblGrid>
        <w:gridCol w:w="1424"/>
        <w:gridCol w:w="2732"/>
        <w:gridCol w:w="1425"/>
        <w:gridCol w:w="1425"/>
        <w:gridCol w:w="1425"/>
      </w:tblGrid>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楼栋</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科室</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核定床位数（张）</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病房间数量（间）</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护士站数量（个）</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3号楼</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胃肠外科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82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30</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肝胆胰外科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85</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31</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肝胆胰外科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42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甲状腺、小儿外科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35</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14</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乳腺外科（东）</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32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乳腺外科（西）</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18</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产科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27</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17</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新生儿科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20</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儿科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87</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29</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呼吸与危重症医学科（西区）</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42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呼吸与危重症医学科（东区）</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44</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17</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呼吸危重症监护病房（东）</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7</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42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心血管内科监护室</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24</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4</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心血管内科（1）</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83</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33</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血管外科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39</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15</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胸外科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45</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17</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心胸外科</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42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心胸血管外科监护室</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20</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重症监护东区</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重症监护西区</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6</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pStyle w:val="915"/>
              <w:jc w:val="center"/>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pStyle w:val="915"/>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pStyle w:val="915"/>
              <w:jc w:val="left"/>
              <w:widowControl/>
              <w:rPr>
                <w:rFonts w:ascii="宋体" w:hAnsi="宋体" w:cs="宋体"/>
                <w:color w:val="000000"/>
                <w:sz w:val="24"/>
                <w:lang w:bidi="ar"/>
              </w:rPr>
            </w:pPr>
            <w:r>
              <w:rPr>
                <w:rFonts w:hint="eastAsia" w:ascii="宋体" w:hAnsi="宋体" w:cs="宋体"/>
                <w:color w:val="000000"/>
                <w:sz w:val="24"/>
                <w:lang w:bidi="ar"/>
              </w:rPr>
              <w:t xml:space="preserve">合计</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915"/>
              <w:jc w:val="right"/>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t xml:space="preserve">49</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915"/>
              <w:jc w:val="right"/>
              <w:widowControl/>
              <w:rPr>
                <w:rFonts w:ascii="宋体" w:hAnsi="宋体" w:cs="宋体"/>
                <w:color w:val="000000"/>
                <w:sz w:val="24"/>
                <w:lang w:bidi="ar"/>
              </w:rPr>
            </w:pPr>
            <w:r>
              <w:rPr>
                <w:rFonts w:hint="eastAsia" w:ascii="宋体" w:hAnsi="宋体" w:cs="宋体"/>
                <w:color w:val="000000"/>
                <w:sz w:val="24"/>
                <w:lang w:bidi="ar"/>
              </w:rPr>
              <w:t xml:space="preserve">322</w:t>
            </w: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915"/>
              <w:jc w:val="righ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5</w:t>
            </w:r>
            <w:r>
              <w:rPr>
                <w:rFonts w:ascii="宋体" w:hAnsi="宋体" w:cs="宋体"/>
                <w:color w:val="000000"/>
                <w:sz w:val="24"/>
                <w:lang w:bidi="ar"/>
              </w:rPr>
            </w:r>
            <w:r/>
          </w:p>
        </w:tc>
      </w:tr>
    </w:tbl>
    <w:p>
      <w:pPr>
        <w:pStyle w:val="915"/>
        <w:ind w:firstLine="480"/>
        <w:spacing w:line="360" w:lineRule="auto"/>
        <w:rPr>
          <w:rFonts w:ascii="宋体" w:hAnsi="宋体"/>
          <w:color w:val="000000"/>
          <w:sz w:val="24"/>
          <w:szCs w:val="28"/>
        </w:rPr>
      </w:pPr>
      <w:r>
        <w:rPr>
          <w:rFonts w:ascii="宋体" w:hAnsi="宋体"/>
          <w:color w:val="000000"/>
          <w:sz w:val="24"/>
          <w:szCs w:val="28"/>
        </w:rPr>
      </w:r>
      <w:r/>
    </w:p>
    <w:p>
      <w:pPr>
        <w:pStyle w:val="915"/>
        <w:ind w:firstLine="480"/>
        <w:spacing w:line="360" w:lineRule="auto"/>
        <w:rPr>
          <w:rFonts w:ascii="宋体" w:hAnsi="宋体"/>
          <w:color w:val="000000"/>
          <w:sz w:val="24"/>
          <w:szCs w:val="28"/>
        </w:rPr>
      </w:pPr>
      <w:r>
        <w:rPr>
          <w:rFonts w:hint="eastAsia"/>
          <w:sz w:val="24"/>
        </w:rPr>
        <w:t xml:space="preserve">2</w:t>
      </w:r>
      <w:r>
        <w:rPr>
          <w:sz w:val="24"/>
        </w:rPr>
        <w:t xml:space="preserve">.2</w:t>
      </w:r>
      <w:r>
        <w:rPr>
          <w:rFonts w:ascii="宋体" w:hAnsi="宋体"/>
          <w:color w:val="000000"/>
          <w:sz w:val="24"/>
          <w:szCs w:val="28"/>
        </w:rPr>
        <w:t xml:space="preserve">产品清单：</w:t>
      </w:r>
      <w:r>
        <w:rPr>
          <w:rFonts w:ascii="宋体" w:hAnsi="宋体"/>
          <w:color w:val="000000"/>
          <w:sz w:val="24"/>
          <w:szCs w:val="28"/>
        </w:rPr>
      </w:r>
      <w:r/>
    </w:p>
    <w:p>
      <w:pPr>
        <w:pStyle w:val="915"/>
        <w:ind w:firstLine="480"/>
        <w:spacing w:line="360" w:lineRule="auto"/>
        <w:rPr>
          <w:rFonts w:ascii="宋体" w:hAnsi="宋体"/>
          <w:color w:val="000000"/>
          <w:sz w:val="24"/>
          <w:szCs w:val="28"/>
        </w:rPr>
      </w:pPr>
      <w:r>
        <w:rPr>
          <w:rFonts w:ascii="宋体" w:hAnsi="宋体"/>
          <w:color w:val="000000"/>
          <w:sz w:val="24"/>
          <w:szCs w:val="28"/>
        </w:rPr>
        <w:t xml:space="preserve">★投标人承诺所供产品满足产品清单中的类别和数量要求</w:t>
      </w:r>
      <w:r>
        <w:rPr>
          <w:rFonts w:hint="eastAsia" w:ascii="宋体" w:hAnsi="宋体"/>
          <w:b/>
          <w:bCs/>
          <w:color w:val="000000"/>
          <w:sz w:val="24"/>
          <w:szCs w:val="28"/>
        </w:rPr>
        <w:t xml:space="preserve">（</w:t>
      </w:r>
      <w:r>
        <w:rPr>
          <w:rFonts w:hint="eastAsia" w:ascii="宋体" w:hAnsi="宋体" w:cs="宋体"/>
          <w:b/>
          <w:bCs/>
          <w:color w:val="000000"/>
          <w:lang w:bidi="ar"/>
        </w:rPr>
        <w:t xml:space="preserve">投标人需出具承诺函并加盖投标人公章</w:t>
      </w:r>
      <w:r>
        <w:rPr>
          <w:rFonts w:hint="eastAsia" w:ascii="宋体" w:hAnsi="宋体"/>
          <w:b/>
          <w:bCs/>
          <w:color w:val="000000"/>
          <w:sz w:val="24"/>
          <w:szCs w:val="28"/>
        </w:rPr>
        <w:t xml:space="preserve">）</w:t>
      </w:r>
      <w:r>
        <w:rPr>
          <w:rFonts w:ascii="宋体" w:hAnsi="宋体"/>
          <w:color w:val="000000"/>
          <w:sz w:val="24"/>
          <w:szCs w:val="28"/>
        </w:rPr>
        <w:t xml:space="preserve">。</w:t>
      </w:r>
      <w:r>
        <w:rPr>
          <w:rFonts w:ascii="宋体" w:hAnsi="宋体"/>
          <w:color w:val="000000"/>
          <w:sz w:val="24"/>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863"/>
        <w:gridCol w:w="859"/>
        <w:gridCol w:w="978"/>
        <w:gridCol w:w="1387"/>
      </w:tblGrid>
      <w:tr>
        <w:trPr>
          <w:trHeight w:val="113"/>
        </w:trPr>
        <w:tc>
          <w:tcPr>
            <w:tcW w:w="988" w:type="dxa"/>
            <w:vAlign w:val="center"/>
            <w:textDirection w:val="lrTb"/>
            <w:noWrap w:val="false"/>
          </w:tcPr>
          <w:p>
            <w:pPr>
              <w:pStyle w:val="915"/>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产品名称</w:t>
            </w:r>
            <w:r>
              <w:rPr>
                <w:rFonts w:ascii="宋体" w:hAnsi="宋体" w:cs="宋体"/>
                <w:b/>
                <w:bCs/>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单位</w:t>
            </w:r>
            <w:r>
              <w:rPr>
                <w:rFonts w:ascii="宋体" w:hAnsi="宋体" w:cs="宋体"/>
                <w:b/>
                <w:bCs/>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备注</w:t>
            </w:r>
            <w:r>
              <w:rPr>
                <w:rFonts w:ascii="宋体" w:hAnsi="宋体" w:cs="宋体"/>
                <w:b/>
                <w:bCs/>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医疗业务定制</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医护终端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医用床头终端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849</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医用床旁交互终端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42</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悬臂支架</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42</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医用门口终端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322</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病区人脸识别终端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卫生间终端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296</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值班室分机</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移动通讯终端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11</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走廊发布终端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12</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两线接收模块</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spacing w:line="360" w:lineRule="auto"/>
              <w:widowControl/>
              <w:rPr>
                <w:rFonts w:ascii="宋体" w:hAnsi="宋体" w:cs="宋体"/>
                <w:color w:val="000000"/>
                <w:sz w:val="24"/>
              </w:rPr>
            </w:pPr>
            <w:r>
              <w:rPr>
                <w:rFonts w:hint="eastAsia" w:ascii="宋体" w:hAnsi="宋体" w:cs="宋体"/>
                <w:color w:val="000000"/>
                <w:sz w:val="24"/>
              </w:rPr>
              <w:t xml:space="preserve"> 1335</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13</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IP两线主控终端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14</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病区智能交互终端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26</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15</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定位胸卡</w:t>
            </w:r>
            <w:r>
              <w:rPr>
                <w:rFonts w:ascii="宋体" w:hAnsi="宋体" w:cs="宋体"/>
                <w:color w:val="000000"/>
                <w:sz w:val="24"/>
              </w:rPr>
            </w:r>
            <w:r/>
          </w:p>
        </w:tc>
        <w:tc>
          <w:tcPr>
            <w:tcW w:w="859" w:type="dxa"/>
            <w:vAlign w:val="center"/>
            <w:textDirection w:val="lrTb"/>
            <w:noWrap/>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250</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16</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定位信标</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颗</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550</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智能物联网络终端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18</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网络多媒体控制器</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247</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19</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8路编码器</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20</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病房患者服务部分布线实施安装服务</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IAI辅助评价系统</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22</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医护交互终端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150</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智能药品管控终端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输液监控终端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40</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rPr>
                <w:rFonts w:ascii="宋体" w:hAnsi="宋体" w:cs="宋体"/>
                <w:color w:val="000000"/>
                <w:sz w:val="24"/>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zigbee无线物联网网络终端</w:t>
            </w:r>
            <w:r>
              <w:rPr>
                <w:rFonts w:ascii="宋体" w:hAnsi="宋体" w:cs="宋体"/>
                <w:color w:val="000000"/>
                <w:sz w:val="24"/>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20</w:t>
            </w:r>
            <w:r>
              <w:rPr>
                <w:rFonts w:ascii="宋体" w:hAnsi="宋体" w:cs="宋体"/>
                <w:color w:val="000000"/>
                <w:sz w:val="24"/>
              </w:rPr>
            </w:r>
            <w:r/>
          </w:p>
        </w:tc>
        <w:tc>
          <w:tcPr>
            <w:shd w:val="clear" w:color="000000" w:fill="ffffff"/>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r>
        <w:trPr>
          <w:trHeight w:val="113"/>
        </w:trPr>
        <w:tc>
          <w:tcPr>
            <w:tcW w:w="988" w:type="dxa"/>
            <w:vAlign w:val="center"/>
            <w:textDirection w:val="lrTb"/>
            <w:noWrap w:val="false"/>
          </w:tcPr>
          <w:p>
            <w:pPr>
              <w:pStyle w:val="915"/>
              <w:jc w:val="center"/>
              <w:spacing w:line="360" w:lineRule="auto"/>
              <w:widowControl/>
              <w:rPr>
                <w:rFonts w:ascii="宋体" w:hAnsi="宋体" w:cs="宋体"/>
                <w:color w:val="000000"/>
                <w:sz w:val="24"/>
                <w:highlight w:val="yellow"/>
              </w:rPr>
            </w:pPr>
            <w:r>
              <w:rPr>
                <w:rFonts w:hint="eastAsia" w:ascii="宋体" w:hAnsi="宋体" w:cs="宋体"/>
                <w:color w:val="000000"/>
                <w:sz w:val="24"/>
              </w:rPr>
              <w:t xml:space="preserve">26</w:t>
            </w:r>
            <w:r>
              <w:rPr>
                <w:rFonts w:ascii="宋体" w:hAnsi="宋体" w:cs="宋体"/>
                <w:color w:val="000000"/>
                <w:sz w:val="24"/>
                <w:highlight w:val="yellow"/>
              </w:rPr>
            </w:r>
            <w:r/>
          </w:p>
        </w:tc>
        <w:tc>
          <w:tcPr>
            <w:tcW w:w="3863" w:type="dxa"/>
            <w:vAlign w:val="center"/>
            <w:textDirection w:val="lrTb"/>
            <w:noWrap w:val="false"/>
          </w:tcPr>
          <w:p>
            <w:pPr>
              <w:pStyle w:val="915"/>
              <w:jc w:val="center"/>
              <w:spacing w:line="360" w:lineRule="auto"/>
              <w:widowControl/>
              <w:rPr>
                <w:rFonts w:ascii="宋体" w:hAnsi="宋体" w:cs="宋体"/>
                <w:color w:val="000000"/>
                <w:sz w:val="24"/>
                <w:highlight w:val="yellow"/>
              </w:rPr>
            </w:pPr>
            <w:r>
              <w:rPr>
                <w:rFonts w:hint="eastAsia" w:ascii="宋体" w:hAnsi="宋体" w:cs="宋体"/>
                <w:color w:val="000000"/>
                <w:sz w:val="24"/>
              </w:rPr>
              <w:t xml:space="preserve">实施部署服务（综合布线服务、交换机与设备服务、调试与培训等内容）</w:t>
            </w:r>
            <w:r>
              <w:rPr>
                <w:rFonts w:ascii="宋体" w:hAnsi="宋体" w:cs="宋体"/>
                <w:color w:val="000000"/>
                <w:sz w:val="24"/>
                <w:highlight w:val="yellow"/>
              </w:rPr>
            </w:r>
            <w:r/>
          </w:p>
        </w:tc>
        <w:tc>
          <w:tcPr>
            <w:tcW w:w="859"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rPr>
                <w:rFonts w:ascii="宋体" w:hAnsi="宋体" w:cs="宋体"/>
                <w:color w:val="000000"/>
                <w:sz w:val="24"/>
              </w:rPr>
            </w:r>
            <w:r/>
          </w:p>
        </w:tc>
        <w:tc>
          <w:tcPr>
            <w:tcW w:w="978" w:type="dxa"/>
            <w:vAlign w:val="center"/>
            <w:textDirection w:val="lrTb"/>
            <w:noWrap w:val="false"/>
          </w:tcPr>
          <w:p>
            <w:pPr>
              <w:pStyle w:val="915"/>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387" w:type="dxa"/>
            <w:vAlign w:val="center"/>
            <w:textDirection w:val="lrTb"/>
            <w:noWrap w:val="false"/>
          </w:tcPr>
          <w:p>
            <w:pPr>
              <w:pStyle w:val="915"/>
              <w:jc w:val="center"/>
              <w:spacing w:line="360" w:lineRule="auto"/>
              <w:widowControl/>
              <w:rPr>
                <w:rFonts w:ascii="宋体" w:hAnsi="宋体" w:cs="宋体"/>
                <w:color w:val="000000"/>
                <w:sz w:val="24"/>
              </w:rPr>
            </w:pPr>
            <w:r>
              <w:rPr>
                <w:rFonts w:ascii="宋体" w:hAnsi="宋体" w:cs="宋体"/>
                <w:color w:val="000000"/>
                <w:sz w:val="24"/>
              </w:rPr>
            </w:r>
            <w:r/>
          </w:p>
        </w:tc>
      </w:tr>
    </w:tbl>
    <w:p>
      <w:pPr>
        <w:pStyle w:val="915"/>
        <w:ind w:firstLine="480"/>
        <w:spacing w:line="360" w:lineRule="auto"/>
        <w:rPr>
          <w:rFonts w:ascii="宋体" w:hAnsi="宋体"/>
          <w:color w:val="000000"/>
          <w:sz w:val="24"/>
          <w:szCs w:val="28"/>
        </w:rPr>
      </w:pPr>
      <w:r>
        <w:rPr>
          <w:rFonts w:hint="eastAsia" w:ascii="宋体" w:hAnsi="宋体"/>
          <w:color w:val="000000"/>
          <w:sz w:val="24"/>
          <w:szCs w:val="28"/>
        </w:rPr>
        <w:t xml:space="preserve">2</w:t>
      </w:r>
      <w:r>
        <w:rPr>
          <w:rFonts w:ascii="宋体" w:hAnsi="宋体"/>
          <w:color w:val="000000"/>
          <w:sz w:val="24"/>
          <w:szCs w:val="28"/>
        </w:rPr>
        <w:t xml:space="preserve">.3</w:t>
      </w:r>
      <w:r>
        <w:rPr>
          <w:rFonts w:hint="eastAsia" w:ascii="宋体" w:hAnsi="宋体"/>
          <w:color w:val="000000"/>
          <w:sz w:val="24"/>
          <w:szCs w:val="28"/>
        </w:rPr>
        <w:t xml:space="preserve">项目技术要求</w:t>
      </w:r>
      <w:r>
        <w:rPr>
          <w:rFonts w:ascii="宋体" w:hAnsi="宋体"/>
          <w:color w:val="000000"/>
          <w:sz w:val="24"/>
          <w:szCs w:val="28"/>
        </w:rPr>
      </w:r>
      <w:r/>
    </w:p>
    <w:p>
      <w:pPr>
        <w:pStyle w:val="1014"/>
        <w:ind w:firstLine="480"/>
        <w:rPr>
          <w:rFonts w:eastAsia="宋体" w:cs="宋体"/>
          <w:color w:val="000000"/>
          <w:szCs w:val="24"/>
        </w:rPr>
        <w:outlineLvl w:val="2"/>
      </w:pPr>
      <w:r>
        <w:rPr>
          <w:rFonts w:hint="eastAsia" w:eastAsia="宋体" w:cs="宋体"/>
          <w:color w:val="000000"/>
          <w:szCs w:val="24"/>
        </w:rPr>
        <w:t xml:space="preserve">（一）医疗业务系统定制功能与技术要求</w:t>
      </w:r>
      <w:r>
        <w:rPr>
          <w:rFonts w:eastAsia="宋体" w:cs="宋体"/>
          <w:color w:val="000000"/>
          <w:szCs w:val="24"/>
        </w:rPr>
      </w:r>
      <w:r/>
    </w:p>
    <w:p>
      <w:pPr>
        <w:pStyle w:val="97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rPr>
          <w:rFonts w:ascii="宋体" w:hAnsi="宋体" w:eastAsia="宋体" w:cs="宋体"/>
          <w:color w:val="000000"/>
          <w:sz w:val="24"/>
          <w:szCs w:val="24"/>
        </w:rPr>
      </w:r>
      <w:r/>
    </w:p>
    <w:p>
      <w:pPr>
        <w:pStyle w:val="915"/>
        <w:ind w:firstLine="238"/>
        <w:spacing w:line="360" w:lineRule="auto"/>
        <w:rPr>
          <w:rFonts w:ascii="宋体" w:hAnsi="宋体"/>
          <w:color w:val="000000"/>
          <w:sz w:val="24"/>
        </w:rPr>
        <w:outlineLvl w:val="5"/>
      </w:pPr>
      <w:r>
        <w:rPr>
          <w:rFonts w:hint="eastAsia" w:ascii="宋体" w:hAnsi="宋体"/>
          <w:color w:val="000000"/>
          <w:sz w:val="24"/>
        </w:rPr>
        <w:t xml:space="preserve">（二）软件功能与技术要求</w:t>
      </w:r>
      <w:r>
        <w:rPr>
          <w:rFonts w:ascii="宋体" w:hAnsi="宋体"/>
          <w:color w:val="000000"/>
          <w:sz w:val="24"/>
        </w:rPr>
      </w:r>
      <w:r/>
    </w:p>
    <w:p>
      <w:pPr>
        <w:pStyle w:val="974"/>
        <w:ind w:firstLine="480"/>
        <w:spacing w:line="360" w:lineRule="auto"/>
        <w:rPr>
          <w:rFonts w:ascii="宋体" w:hAnsi="宋体" w:eastAsia="宋体" w:cs="宋体"/>
          <w:color w:val="000000"/>
          <w:sz w:val="24"/>
          <w:szCs w:val="24"/>
        </w:rPr>
      </w:pPr>
      <w:r>
        <w:rPr>
          <w:rFonts w:hint="eastAsia" w:ascii="宋体" w:hAnsi="宋体"/>
          <w:color w:val="000000"/>
          <w:sz w:val="24"/>
        </w:rPr>
        <w:t xml:space="preserve">带</w:t>
      </w:r>
      <w:r>
        <w:rPr>
          <w:rFonts w:hint="eastAsia" w:ascii="宋体" w:hAnsi="宋体" w:eastAsia="宋体" w:cs="宋体"/>
          <w:color w:val="000000"/>
          <w:sz w:val="24"/>
          <w:szCs w:val="24"/>
        </w:rPr>
        <w:t xml:space="preserve">“★”为实质性条款，需按要求做出实质性响应，不满足作为无效投标处理；</w:t>
      </w:r>
      <w:r>
        <w:rPr>
          <w:rFonts w:ascii="宋体" w:hAnsi="宋体" w:eastAsia="宋体" w:cs="宋体"/>
          <w:color w:val="000000"/>
          <w:sz w:val="24"/>
          <w:szCs w:val="24"/>
        </w:rPr>
        <w:t xml:space="preserve">带“◆”条款需按相应参数描述完整功能演示全流程视频才可判定为有效响应；所有“▲”条款需须逐条进行响应并</w:t>
      </w:r>
      <w:r>
        <w:rPr>
          <w:rFonts w:hint="eastAsia" w:ascii="宋体" w:hAnsi="宋体" w:eastAsia="宋体" w:cs="宋体"/>
          <w:color w:val="000000"/>
          <w:sz w:val="24"/>
          <w:szCs w:val="24"/>
        </w:rPr>
        <w:t xml:space="preserve">按要求</w:t>
      </w:r>
      <w:r>
        <w:rPr>
          <w:rFonts w:ascii="宋体" w:hAnsi="宋体" w:eastAsia="宋体" w:cs="宋体"/>
          <w:color w:val="000000"/>
          <w:sz w:val="24"/>
          <w:szCs w:val="24"/>
        </w:rPr>
        <w:t xml:space="preserve">附列产品功能点截图</w:t>
      </w:r>
      <w:r>
        <w:rPr>
          <w:rFonts w:hint="eastAsia" w:ascii="宋体" w:hAnsi="宋体" w:eastAsia="宋体" w:cs="宋体"/>
          <w:color w:val="000000"/>
          <w:sz w:val="24"/>
          <w:szCs w:val="24"/>
        </w:rPr>
        <w:t xml:space="preserve">、实拍图片、检测报告等</w:t>
      </w:r>
      <w:r>
        <w:rPr>
          <w:rFonts w:ascii="宋体" w:hAnsi="宋体" w:eastAsia="宋体" w:cs="宋体"/>
          <w:color w:val="000000"/>
          <w:sz w:val="24"/>
          <w:szCs w:val="24"/>
        </w:rPr>
        <w:t xml:space="preserve">符合要求</w:t>
      </w:r>
      <w:r>
        <w:rPr>
          <w:rFonts w:hint="eastAsia" w:ascii="宋体" w:hAnsi="宋体" w:eastAsia="宋体" w:cs="宋体"/>
          <w:color w:val="000000"/>
          <w:sz w:val="24"/>
          <w:szCs w:val="24"/>
        </w:rPr>
        <w:t xml:space="preserve">的佐证材料</w:t>
      </w:r>
      <w:r>
        <w:rPr>
          <w:rFonts w:ascii="宋体" w:hAnsi="宋体" w:eastAsia="宋体" w:cs="宋体"/>
          <w:color w:val="000000"/>
          <w:sz w:val="24"/>
          <w:szCs w:val="24"/>
        </w:rPr>
        <w:t xml:space="preserve">才可判定为有效响应。所有“◆”条款演示视频总长时间不超过15分钟。</w:t>
      </w:r>
      <w:r>
        <w:rPr>
          <w:rFonts w:ascii="宋体" w:hAnsi="宋体" w:eastAsia="宋体" w:cs="宋体"/>
          <w:color w:val="000000"/>
          <w:sz w:val="24"/>
          <w:szCs w:val="24"/>
        </w:rPr>
      </w:r>
      <w:r/>
    </w:p>
    <w:p>
      <w:pPr>
        <w:pStyle w:val="1014"/>
        <w:ind w:firstLine="480"/>
        <w:rPr>
          <w:rFonts w:eastAsia="宋体" w:cs="宋体"/>
          <w:color w:val="000000"/>
          <w:szCs w:val="24"/>
        </w:rPr>
      </w:pPr>
      <w:r>
        <w:rPr>
          <w:rFonts w:hint="eastAsia" w:eastAsia="宋体" w:cs="宋体"/>
          <w:color w:val="000000"/>
          <w:szCs w:val="24"/>
        </w:rPr>
        <w:t xml:space="preserve">具体功能与技术要求如下：</w:t>
      </w:r>
      <w:r>
        <w:rPr>
          <w:rFonts w:eastAsia="宋体" w:cs="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80"/>
        <w:gridCol w:w="477"/>
        <w:gridCol w:w="872"/>
        <w:gridCol w:w="6490"/>
      </w:tblGrid>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b/>
                <w:color w:val="000000"/>
                <w:sz w:val="18"/>
                <w:szCs w:val="18"/>
                <w:lang w:eastAsia="en-US"/>
              </w:rPr>
            </w:pPr>
            <w:r>
              <w:rPr>
                <w:rFonts w:hint="eastAsia" w:ascii="宋体" w:hAnsi="宋体" w:cs="宋体"/>
                <w:b/>
                <w:color w:val="000000"/>
                <w:sz w:val="18"/>
                <w:szCs w:val="18"/>
                <w:lang w:eastAsia="en-US"/>
              </w:rPr>
              <w:t xml:space="preserve">序号</w:t>
            </w:r>
            <w:r>
              <w:rPr>
                <w:rFonts w:ascii="宋体" w:hAnsi="宋体" w:cs="宋体"/>
                <w:b/>
                <w:color w:val="000000"/>
                <w:sz w:val="18"/>
                <w:szCs w:val="18"/>
                <w:lang w:eastAsia="en-US"/>
              </w:rPr>
            </w:r>
            <w:r/>
          </w:p>
        </w:tc>
        <w:tc>
          <w:tcPr>
            <w:shd w:val="clear" w:color="auto" w:fill="ffffff"/>
            <w:tcW w:w="477" w:type="dxa"/>
            <w:vAlign w:val="center"/>
            <w:textDirection w:val="lrTb"/>
            <w:noWrap w:val="false"/>
          </w:tcPr>
          <w:p>
            <w:pPr>
              <w:pStyle w:val="915"/>
              <w:jc w:val="center"/>
              <w:spacing w:line="360" w:lineRule="auto"/>
              <w:rPr>
                <w:rFonts w:ascii="宋体" w:hAnsi="宋体" w:cs="宋体"/>
                <w:b/>
                <w:color w:val="000000"/>
                <w:sz w:val="18"/>
                <w:szCs w:val="18"/>
              </w:rPr>
            </w:pPr>
            <w:r>
              <w:rPr>
                <w:rFonts w:hint="eastAsia" w:ascii="宋体" w:hAnsi="宋体" w:cs="宋体"/>
                <w:b/>
                <w:color w:val="000000"/>
                <w:sz w:val="18"/>
                <w:szCs w:val="18"/>
              </w:rPr>
              <w:t xml:space="preserve">系统名称</w:t>
            </w:r>
            <w:r>
              <w:rPr>
                <w:rFonts w:ascii="宋体" w:hAnsi="宋体" w:cs="宋体"/>
                <w:b/>
                <w:color w:val="000000"/>
                <w:sz w:val="18"/>
                <w:szCs w:val="18"/>
              </w:rPr>
            </w:r>
            <w:r/>
          </w:p>
        </w:tc>
        <w:tc>
          <w:tcPr>
            <w:shd w:val="clear" w:color="auto" w:fill="ffffff"/>
            <w:tcW w:w="872" w:type="dxa"/>
            <w:vAlign w:val="center"/>
            <w:textDirection w:val="lrTb"/>
            <w:noWrap w:val="false"/>
          </w:tcPr>
          <w:p>
            <w:pPr>
              <w:pStyle w:val="915"/>
              <w:jc w:val="center"/>
              <w:spacing w:line="360" w:lineRule="auto"/>
              <w:rPr>
                <w:rFonts w:ascii="宋体" w:hAnsi="宋体" w:cs="宋体"/>
                <w:b/>
                <w:color w:val="000000"/>
                <w:sz w:val="18"/>
                <w:szCs w:val="18"/>
              </w:rPr>
            </w:pPr>
            <w:r>
              <w:rPr>
                <w:rFonts w:hint="eastAsia" w:ascii="宋体" w:hAnsi="宋体" w:cs="宋体"/>
                <w:b/>
                <w:color w:val="000000"/>
                <w:sz w:val="18"/>
                <w:szCs w:val="18"/>
              </w:rPr>
              <w:t xml:space="preserve">产品</w:t>
            </w:r>
            <w:r>
              <w:rPr>
                <w:rFonts w:ascii="宋体" w:hAnsi="宋体" w:cs="宋体"/>
                <w:b/>
                <w:color w:val="000000"/>
                <w:sz w:val="18"/>
                <w:szCs w:val="18"/>
              </w:rPr>
            </w:r>
            <w:r/>
          </w:p>
        </w:tc>
        <w:tc>
          <w:tcPr>
            <w:shd w:val="clear" w:color="auto" w:fill="ffffff"/>
            <w:tcW w:w="6490" w:type="dxa"/>
            <w:vAlign w:val="center"/>
            <w:textDirection w:val="lrTb"/>
            <w:noWrap w:val="false"/>
          </w:tcPr>
          <w:p>
            <w:pPr>
              <w:pStyle w:val="915"/>
              <w:jc w:val="center"/>
              <w:spacing w:line="360" w:lineRule="auto"/>
              <w:rPr>
                <w:rFonts w:ascii="宋体" w:hAnsi="宋体" w:cs="宋体"/>
                <w:b/>
                <w:color w:val="000000"/>
                <w:sz w:val="18"/>
                <w:szCs w:val="18"/>
                <w:lang w:eastAsia="en-US"/>
              </w:rPr>
            </w:pPr>
            <w:r>
              <w:rPr>
                <w:rFonts w:hint="eastAsia" w:ascii="宋体" w:hAnsi="宋体" w:cs="宋体"/>
                <w:b/>
                <w:color w:val="000000"/>
                <w:sz w:val="18"/>
                <w:szCs w:val="18"/>
              </w:rPr>
              <w:t xml:space="preserve">功能要求</w:t>
            </w:r>
            <w:r>
              <w:rPr>
                <w:rFonts w:ascii="宋体" w:hAnsi="宋体" w:cs="宋体"/>
                <w:b/>
                <w:color w:val="000000"/>
                <w:sz w:val="18"/>
                <w:szCs w:val="18"/>
                <w:lang w:eastAsia="en-US"/>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shd w:val="clear" w:color="auto" w:fill="ffffff"/>
            <w:tcW w:w="477" w:type="dxa"/>
            <w:vAlign w:val="center"/>
            <w:vMerge w:val="restart"/>
            <w:textDirection w:val="lrTb"/>
            <w:noWrap w:val="false"/>
          </w:tcPr>
          <w:p>
            <w:pPr>
              <w:pStyle w:val="915"/>
              <w:jc w:val="center"/>
              <w:spacing w:line="360" w:lineRule="auto"/>
              <w:rPr>
                <w:rFonts w:ascii="宋体" w:hAnsi="宋体" w:cs="宋体"/>
                <w:bCs/>
                <w:color w:val="000000"/>
                <w:sz w:val="18"/>
                <w:szCs w:val="18"/>
              </w:rPr>
            </w:pPr>
            <w:r>
              <w:rPr>
                <w:rFonts w:hint="eastAsia" w:ascii="宋体" w:hAnsi="宋体" w:cs="宋体"/>
                <w:bCs/>
                <w:color w:val="000000"/>
                <w:sz w:val="18"/>
                <w:szCs w:val="18"/>
              </w:rPr>
              <w:t xml:space="preserve">医疗业务定制</w:t>
            </w:r>
            <w:r>
              <w:rPr>
                <w:rFonts w:ascii="宋体" w:hAnsi="宋体" w:cs="宋体"/>
                <w:bCs/>
                <w:color w:val="000000"/>
                <w:sz w:val="18"/>
                <w:szCs w:val="18"/>
              </w:rPr>
            </w:r>
            <w:r/>
          </w:p>
        </w:tc>
        <w:tc>
          <w:tcPr>
            <w:shd w:val="clear" w:color="auto" w:fill="ffffff"/>
            <w:tcW w:w="872" w:type="dxa"/>
            <w:vAlign w:val="center"/>
            <w:textDirection w:val="lrTb"/>
            <w:noWrap w:val="false"/>
          </w:tcPr>
          <w:p>
            <w:pPr>
              <w:pStyle w:val="915"/>
              <w:spacing w:line="360" w:lineRule="auto"/>
              <w:rPr>
                <w:rFonts w:ascii="宋体" w:hAnsi="宋体" w:cs="宋体"/>
                <w:bCs/>
                <w:color w:val="000000"/>
                <w:sz w:val="18"/>
                <w:szCs w:val="18"/>
              </w:rPr>
            </w:pPr>
            <w:r>
              <w:rPr>
                <w:rFonts w:hint="eastAsia" w:ascii="宋体" w:hAnsi="宋体" w:cs="宋体"/>
                <w:bCs/>
                <w:color w:val="000000"/>
                <w:sz w:val="18"/>
                <w:szCs w:val="18"/>
              </w:rPr>
              <w:t xml:space="preserve">床旁交互系统定制化服务</w:t>
            </w:r>
            <w:r>
              <w:rPr>
                <w:rFonts w:ascii="宋体" w:hAnsi="宋体" w:cs="宋体"/>
                <w:bCs/>
                <w:color w:val="000000"/>
                <w:sz w:val="18"/>
                <w:szCs w:val="18"/>
              </w:rPr>
            </w:r>
            <w:r/>
          </w:p>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6490" w:type="dxa"/>
            <w:vAlign w:val="center"/>
            <w:textDirection w:val="lrTb"/>
            <w:noWrap w:val="false"/>
          </w:tcPr>
          <w:p>
            <w:pPr>
              <w:pStyle w:val="915"/>
              <w:spacing w:line="360" w:lineRule="auto"/>
              <w:rPr>
                <w:rFonts w:ascii="宋体" w:hAnsi="宋体"/>
                <w:color w:val="000000"/>
                <w:sz w:val="18"/>
                <w:szCs w:val="18"/>
              </w:rPr>
            </w:pPr>
            <w:r>
              <w:rPr>
                <w:rFonts w:hint="eastAsia" w:ascii="宋体" w:hAnsi="宋体"/>
                <w:color w:val="000000"/>
                <w:sz w:val="18"/>
                <w:szCs w:val="18"/>
              </w:rPr>
              <w:t xml:space="preserve">1.账户与权限：管理系统中所有的用户账户信息，并通过护士、护士长、医生、管理员等系统角色的形式将功能权限分配给相关用户，登录后自动显示对应的功能模块；</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2.终端管理：显示系统中各项终端的基本信息，可按照设备类型批量对各个终端进行升级操作；</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3.调查问卷：统一管理病区、全院的调查问卷，展示答卷的各类统计信息等相关操作；</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4.护理级别管理：统一管理全院的护理级别名称、颜色等信息；</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5.患者一览：通过患者信息卡的形式展示本护理单元患者的基本信息，点击后查看患者详情；</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6.宣教管理：维护本病区和全院的宣教文章、分类及其各类属性设置；</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7.床头卡显示配置：管理本病区包括防跌倒、防压疮在内的各类警示信息在床头卡的展示形式；</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8.系统配置：管理员操作本病区的床头分机、床旁分机、医护主机、门口分机、值班室分机、门禁分机等终端的包括音量亮度在内的各类设置，定时自动修改各个分机的亮度与音量；</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9.呼叫记录：详细展示本病区中的历史呼叫记录，包括发起方、被叫方、是否接通、呼叫发起时间、呼叫处理时间、处理方式、通话时长等；</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10.医护巡视：医护人员在床旁分机上完成查房打卡之后，系统生成的医护巡视记录。</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11.商家管理：管理员统一管理本院所有入驻商家，包括餐厅、超市以及护工中心三类，支持对商家的启用停用以及解锁等操作；</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12.题库管理：管理员统一管理全院的调查问卷题库，方便在新建或编辑问卷的时候直接引用题库中的题目；</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13.操作记录：系统自动记录用户web端的相关重要操作，展示在操作记录表中；</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14.音频广播：管理主机上的音频广播播出单，设置播出单的播放规则与播放时间；</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15.表单管理：管理系统中的各类护理表单，包括但不限于体温单、血糖单、出入量单、各类评估单等；</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16.具备IPTV模块，与信源进行打通，支持视频点播与电视直播等功能；</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17.终端安全保障设计：采用终端授权接入机制，有效保障在专有的机构由专有人员将专有探视终端接入专有视频云；</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18.提供多重防护策略，可防护DDoS、CC、SQL注入、XSS跨站等常见Web服务器漏洞攻击、核心文件非授权访问、路径穿越等，保障网络安全；</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19.安全传输：HTTPS、WSS、结合数字签名技术，防伪造，防篡改，有效保障数据安全传输；</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20.运维主页：显示系统运维数据，包括各类型终端授权数量、服务器运行情况、各科室终端数量；</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21.消息提醒管理：设置系统自动提醒的类型、名称、计算公式、触发时刻等规则与以及应用科室；</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22.生物识别：管理系统用户账户的人脸识别照片、签名等生物识别内容；</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23.角色管理：可以分配用户角色、登录账号，并对账号或者角色进行权限管理，分配操作内容等。责任组管理：可以对患者呼叫进行分组管理，将患者呼叫转移到专管的责任护士的手持机或智能手机上实现呼叫通话；</w:t>
            </w:r>
            <w:r>
              <w:rPr>
                <w:rFonts w:ascii="宋体" w:hAnsi="宋体"/>
                <w:color w:val="000000"/>
                <w:sz w:val="18"/>
                <w:szCs w:val="18"/>
              </w:rPr>
            </w:r>
            <w:r/>
          </w:p>
          <w:p>
            <w:pPr>
              <w:pStyle w:val="915"/>
              <w:spacing w:line="360" w:lineRule="auto"/>
              <w:rPr>
                <w:rFonts w:ascii="宋体" w:hAnsi="宋体"/>
                <w:bCs/>
                <w:color w:val="000000"/>
                <w:sz w:val="18"/>
                <w:szCs w:val="18"/>
              </w:rPr>
            </w:pPr>
            <w:r>
              <w:rPr>
                <w:rFonts w:hint="eastAsia" w:ascii="宋体" w:hAnsi="宋体"/>
                <w:bCs/>
                <w:color w:val="000000"/>
                <w:sz w:val="18"/>
                <w:szCs w:val="18"/>
              </w:rPr>
              <w:t xml:space="preserve">24.▲设备状态监控：可以查看设备的位置、工作状态，快速发现故障设备，查看设备软件版本等信息，便于排查故障设备，定位问题。医护主机：按安装科室查看各终端的IP地址、状态、版本信息、最后升级状态等终端信息，并可以进行终端在线升级、终端配置等运维操作。（需提供产品功能实拍照片或者功能截图并提供投标人加盖公章的承诺函）；</w:t>
            </w:r>
            <w:r>
              <w:rPr>
                <w:rFonts w:ascii="宋体" w:hAnsi="宋体"/>
                <w:bCs/>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5</w:t>
            </w:r>
            <w:r>
              <w:rPr>
                <w:rFonts w:hint="eastAsia" w:ascii="宋体" w:hAnsi="宋体"/>
                <w:color w:val="000000"/>
                <w:sz w:val="18"/>
                <w:szCs w:val="18"/>
              </w:rPr>
              <w:t xml:space="preserve">.呼叫记录：显示所选科室的历史呼叫记录内容，包括发起设备、接收设备、是否接通、呼叫时间、处理时间等内容；</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6</w:t>
            </w:r>
            <w:r>
              <w:rPr>
                <w:rFonts w:hint="eastAsia" w:ascii="宋体" w:hAnsi="宋体"/>
                <w:color w:val="000000"/>
                <w:sz w:val="18"/>
                <w:szCs w:val="18"/>
              </w:rPr>
              <w:t xml:space="preserve">.进出记录：显示所选科室护士进出病房的时间、进入房间、进入人等内容；</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7</w:t>
            </w:r>
            <w:r>
              <w:rPr>
                <w:rFonts w:hint="eastAsia" w:ascii="宋体" w:hAnsi="宋体"/>
                <w:color w:val="000000"/>
                <w:sz w:val="18"/>
                <w:szCs w:val="18"/>
              </w:rPr>
              <w:t xml:space="preserve">.调查问卷：维护所选科室或全院的调查问卷内容，显示各个问卷调查的统计信息；</w:t>
            </w:r>
            <w:r>
              <w:rPr>
                <w:rFonts w:ascii="宋体" w:hAnsi="宋体"/>
                <w:color w:val="000000"/>
                <w:sz w:val="18"/>
                <w:szCs w:val="18"/>
              </w:rPr>
            </w:r>
            <w:r/>
          </w:p>
          <w:p>
            <w:pPr>
              <w:pStyle w:val="915"/>
              <w:spacing w:line="360" w:lineRule="auto"/>
              <w:rPr>
                <w:rFonts w:ascii="宋体" w:hAnsi="宋体"/>
                <w:color w:val="000000"/>
                <w:sz w:val="18"/>
                <w:szCs w:val="18"/>
              </w:rPr>
            </w:pPr>
            <w:r>
              <w:rPr>
                <w:rFonts w:ascii="宋体" w:hAnsi="宋体"/>
                <w:color w:val="000000"/>
                <w:sz w:val="18"/>
                <w:szCs w:val="18"/>
              </w:rPr>
              <w:t xml:space="preserve">28</w:t>
            </w:r>
            <w:r>
              <w:rPr>
                <w:rFonts w:hint="eastAsia" w:ascii="宋体" w:hAnsi="宋体"/>
                <w:color w:val="000000"/>
                <w:sz w:val="18"/>
                <w:szCs w:val="18"/>
              </w:rPr>
              <w:t xml:space="preserve">.呼叫统计：可视化显示各个维度的呼叫统计，包括科室对比图、房间对比图、床位对比图、日趋势图、时趋势图、入住统计图、呼叫响应对比图；</w:t>
            </w:r>
            <w:r>
              <w:rPr>
                <w:rFonts w:ascii="宋体" w:hAnsi="宋体"/>
                <w:color w:val="000000"/>
                <w:sz w:val="18"/>
                <w:szCs w:val="18"/>
              </w:rPr>
            </w:r>
            <w:r/>
          </w:p>
          <w:p>
            <w:pPr>
              <w:pStyle w:val="915"/>
              <w:spacing w:line="360" w:lineRule="auto"/>
              <w:rPr>
                <w:rFonts w:ascii="宋体" w:hAnsi="宋体"/>
                <w:color w:val="000000"/>
                <w:sz w:val="18"/>
                <w:szCs w:val="18"/>
              </w:rPr>
            </w:pPr>
            <w:r>
              <w:rPr>
                <w:rFonts w:ascii="宋体" w:hAnsi="宋体"/>
                <w:color w:val="000000"/>
                <w:sz w:val="18"/>
                <w:szCs w:val="18"/>
              </w:rPr>
              <w:t xml:space="preserve">29</w:t>
            </w:r>
            <w:r>
              <w:rPr>
                <w:rFonts w:hint="eastAsia" w:ascii="宋体" w:hAnsi="宋体"/>
                <w:color w:val="000000"/>
                <w:sz w:val="18"/>
                <w:szCs w:val="18"/>
              </w:rPr>
              <w:t xml:space="preserve">.宣教记录：选择科室或全院宣教的文章，推送至向所选科室的在院患者的床头分机。</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t xml:space="preserve">0</w:t>
            </w:r>
            <w:r>
              <w:rPr>
                <w:rFonts w:hint="eastAsia" w:ascii="宋体" w:hAnsi="宋体"/>
                <w:color w:val="000000"/>
                <w:sz w:val="18"/>
                <w:szCs w:val="18"/>
              </w:rPr>
              <w:t xml:space="preserve">.医嘱信息：显示所选科室在院患者的医嘱字段，包括医嘱名称、医嘱类型、医嘱分类、剂量、用法等字段；</w:t>
            </w:r>
            <w:r>
              <w:rPr>
                <w:rFonts w:ascii="宋体" w:hAnsi="宋体"/>
                <w:color w:val="000000"/>
                <w:sz w:val="18"/>
                <w:szCs w:val="18"/>
              </w:rPr>
            </w:r>
            <w:r/>
          </w:p>
          <w:p>
            <w:pPr>
              <w:pStyle w:val="915"/>
              <w:spacing w:line="360" w:lineRule="auto"/>
              <w:rPr>
                <w:rFonts w:ascii="宋体" w:hAnsi="宋体"/>
                <w:bCs/>
                <w:color w:val="000000"/>
                <w:sz w:val="18"/>
                <w:szCs w:val="18"/>
              </w:rPr>
            </w:pPr>
            <w:r>
              <w:rPr>
                <w:rFonts w:hint="eastAsia" w:ascii="宋体" w:hAnsi="宋体"/>
                <w:bCs/>
                <w:color w:val="000000"/>
                <w:sz w:val="18"/>
                <w:szCs w:val="18"/>
              </w:rPr>
              <w:t xml:space="preserve">3</w:t>
            </w:r>
            <w:r>
              <w:rPr>
                <w:rFonts w:ascii="宋体" w:hAnsi="宋体"/>
                <w:bCs/>
                <w:color w:val="000000"/>
                <w:sz w:val="18"/>
                <w:szCs w:val="18"/>
              </w:rPr>
              <w:t xml:space="preserve">1</w:t>
            </w:r>
            <w:r>
              <w:rPr>
                <w:rFonts w:hint="eastAsia" w:ascii="宋体" w:hAnsi="宋体"/>
                <w:bCs/>
                <w:color w:val="000000"/>
                <w:sz w:val="18"/>
                <w:szCs w:val="18"/>
              </w:rPr>
              <w:t xml:space="preserve">.商家二维码：管理床头分机显示的商家二维码，支持单个终端上传与全院批量上传两种方式。商家管理：管理系统内“餐厅食堂”“商超便利”“护工中心”等类型的商家账户。</w:t>
            </w:r>
            <w:r>
              <w:rPr>
                <w:rFonts w:ascii="宋体" w:hAnsi="宋体"/>
                <w:bCs/>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32.设备状态监控：可以查看设备的位置、工作状态，快速发现故障设备，查看设备软件版本等信息，便于排查故障设备，定位问题。医护主机：按安装科室查看各终端的IP地址、状态、版本信息、最后升级状态等终端信息，并可以进行终端在线升级、终端配置等运维操作。</w:t>
            </w:r>
            <w:r>
              <w:rPr>
                <w:rFonts w:ascii="宋体" w:hAnsi="宋体" w:cs="宋体"/>
                <w:color w:val="000000"/>
                <w:sz w:val="18"/>
                <w:szCs w:val="18"/>
              </w:rPr>
            </w:r>
            <w:r/>
          </w:p>
          <w:p>
            <w:pPr>
              <w:pStyle w:val="915"/>
              <w:spacing w:line="360" w:lineRule="auto"/>
              <w:rPr>
                <w:rFonts w:ascii="宋体" w:hAnsi="宋体"/>
                <w:color w:val="000000"/>
                <w:sz w:val="18"/>
                <w:szCs w:val="18"/>
              </w:rPr>
            </w:pPr>
            <w:r>
              <w:rPr>
                <w:rFonts w:hint="eastAsia" w:ascii="宋体" w:hAnsi="宋体" w:cs="宋体"/>
                <w:color w:val="000000"/>
                <w:sz w:val="18"/>
                <w:szCs w:val="18"/>
              </w:rPr>
              <w:t xml:space="preserve">33.</w:t>
            </w:r>
            <w:r>
              <w:rPr>
                <w:rFonts w:hint="eastAsia" w:ascii="宋体" w:hAnsi="宋体" w:cs="宋体"/>
                <w:color w:val="000000"/>
                <w:sz w:val="20"/>
                <w:szCs w:val="20"/>
                <w:lang w:bidi="ar"/>
              </w:rPr>
              <w:t xml:space="preserve">◆</w:t>
            </w:r>
            <w:r>
              <w:rPr>
                <w:rFonts w:hint="eastAsia" w:ascii="宋体" w:hAnsi="宋体" w:cs="宋体"/>
                <w:color w:val="000000"/>
                <w:sz w:val="18"/>
                <w:szCs w:val="18"/>
              </w:rPr>
              <w:t xml:space="preserve">医用床旁交互系统：能够对接人工智能平台，具备语音识别技术，实现不触碰设备，语音启用呼叫、换药等功能。</w:t>
            </w:r>
            <w:r>
              <w:rPr>
                <w:rFonts w:ascii="宋体" w:hAnsi="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护士站系统定制化服务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spacing w:line="360" w:lineRule="auto"/>
              <w:rPr>
                <w:rFonts w:ascii="宋体" w:hAnsi="宋体" w:cs="宋体"/>
                <w:color w:val="000000"/>
                <w:sz w:val="18"/>
                <w:szCs w:val="18"/>
              </w:rPr>
            </w:pPr>
            <w:r>
              <w:rPr>
                <w:rFonts w:ascii="宋体" w:hAnsi="宋体" w:cs="宋体"/>
                <w:color w:val="000000"/>
                <w:sz w:val="18"/>
                <w:szCs w:val="18"/>
              </w:rPr>
              <w:t xml:space="preserve">1.呼叫患者：支持向病区患者发起呼叫，接通后可进行音频或视频通话，支持自动接通；</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2.呼叫医护：支持向本病区值班室、护士站以及其他病区护士站发起呼叫，接通后可进行音频或视频通话；</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3.多路通话：支持一病区多主机模式，当一个主机正在通话中时，不影响其他主机等终端处理患者呼叫；患者监护：医护主机支持主动调起患者的床头/床旁分机摄像头，查看患者的实时情况；</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4.接收呼叫：支持接听、挂断、忽略三种形式的处理呼叫方式，选择“忽略”后只会挂断在当前终端的呼叫请求，而不影响其他终端接收；</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5.宕机呼叫：服务器重启、宕机、停电等特殊情况均不影响正常患者向主机的呼叫功能。呼叫托管：可设置托管主机，床头、门口等分机的呼叫统一转移到被托管主机上处理。支持立即托管与定时段托管模式；</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6.忙音反馈：当主机在通话中时，系统可自动将呼叫信息收到的状态反馈给床头、床旁分机等终端，减轻患者焦虑；</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7.录音录像:支持对通话过程录音录像，并可在服务端查询播放录制的文件；</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8.语音播报：支持对接收的呼叫信息进行汉字语音播报，如“X床呼叫”、“X房间卫生间呼叫”等，可设置报号次数；</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9.未处理提醒：支持设置持续提醒或间隔提醒，以满足不同环境、不同病区需要；</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10.一键清除：支持一键清除所有未处理呼叫，节省逐条清除时间；</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11.呼叫记录：展示病区历史呼叫记录，包括发起方、被叫方、呼叫发起时间、呼叫处理时间、处理方式、通话时长等；</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12.床位信息卡：展示床位一览，每个床位模块显示对应患者的床位信息、患者基本信息、护理标识信息等；</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13.病区统计：支持统计并展示病区床位总数、患者总数、危重预警人数、各护理级别人数等；</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14.显示模式：床位信息卡支持常规模式和极简模式两种显示模式，用户可根据使用习惯自行切换；</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15.患者详情：展示患者详情，包括床号、姓名、性别、年龄、出生日期、入院时间、入院诊断等；</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16.护士进入：配合门口操作，支持查看病区护士所在房间位置。</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17.屏保动画：终端持续未操作时，支持自动显示屏保动画；</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18.远程开门：配合病区门禁分机，支持接收病区开门请求并远程控制开门；</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19.可视门禁：配合病区门禁分机，支持查看病区多个出入口的视频画面，支持视频通话；</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20.话筒广播：支持向整个病区、任意床位、任意房间发起实时话筒广播，广播时所有播放终端声音进度保持一致；</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21.音频广播：支持通过播出单向整个病区、任意床位、任意房间发起定时或实时音频广播，支持单曲循环、列表循环、顺序播放三种播放模式，广播时所有播放终端声音进度保持一致；</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22.闹钟提醒：配合患者端闹钟功能，皮试、测血糖等闹钟到时后支持一同联动提醒，播放闹钟铃声；</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23.护士定位：配合门口分机的护士进入功能，可查看哪些房间有护士进入；</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24.屏幕亮度调整：支持后台配置多时间段屏幕亮度或亮、息屏，可根据医院作息灵活控制；</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25.终端音量调整：支持后台配置多时间段终端音量，可根据医院作息灵活控制；</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26.回音消除：具备回音消除算法，优化通话噪音，提高通话质量；</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27.噪音抑制：通过噪音抑制算法，降低通话中的环境噪音，提高通话质量。硬件看门狗功能：硬件看门狗设计，支持设备异常时自动重启功能；</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28.网络抖动抑制：可在弱网环境下提供高效网络传输、通话功能，提升用户通讯体验；</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29.硬件重启：支持通过实体按键完成硬件重启功能；</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ascii="宋体" w:hAnsi="宋体" w:cs="宋体"/>
                <w:color w:val="000000"/>
                <w:sz w:val="18"/>
                <w:szCs w:val="18"/>
              </w:rPr>
              <w:t xml:space="preserve">30.延时上电：为防止多设备同时启动时瞬时电流过大，设备支持延时上电功能。</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31.◆在WEB页面端，以科室单元进行配置，配置通话保持数量应≥5路分机；不少于5个床头分机依次发起呼叫，在护士站主机端可依次接听，且在接通1路通话的同时保持其余4路，并依次恢复通话。</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床头卡系统定制化服务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护理呼叫：支持向病区护士发起呼叫请求，提供音频呼叫、视频呼叫等多种呼叫发起方式；换药呼叫：支持直接发起换药呼叫请求，无需接通，快速响应；增援呼叫：护士可发起增援呼叫求助，方便护理人员迅速定位所需增援床位；呼叫转移：护士进入房间后，可使用该房间内床头分机接听其他房间患者床头分机的呼叫，并进行双向音视频对讲；</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2．呼叫联动：床头分机发起呼叫时，可联动医护主机、医生助手、门口分机、走廊显示屏、值班室分机、门灯等终端设备联动，保障呼叫信息及时有效传递；</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3．护理床头卡：支持显示患者的各项信息，如姓名、床号、性别、年龄、入院日期、过敏史、饮食类型等基本信息以及防跌倒、防压疮、非计划拔管等预警信息，支持样式定制；</w:t>
            </w:r>
            <w:r>
              <w:rPr>
                <w:rFonts w:ascii="宋体" w:hAnsi="宋体" w:cs="宋体"/>
                <w:color w:val="000000"/>
                <w:sz w:val="18"/>
                <w:szCs w:val="18"/>
              </w:rPr>
            </w:r>
            <w:r/>
          </w:p>
          <w:p>
            <w:pPr>
              <w:pStyle w:val="915"/>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4．▲智能宣教：系统根据患者诊断等信息，自动匹配展示与其相关宣教文章，内容全面支持文字、图片、音频、视频、word、PPT、PDF文档等形式，方便患者查看；具备自动朗读功能，宣教文字自动转音频。宣教状态：显示宣教文章的患者阅读状态，包括“未读”“已读”“未了解”“已了解”“已签字”等，让护士的宣教更有针对性（需提供产品功能实拍照片或者功能截图并提供投标人加盖公章的承诺函）；</w:t>
            </w:r>
            <w:r>
              <w:rPr>
                <w:rFonts w:ascii="宋体" w:hAnsi="宋体" w:cs="宋体"/>
                <w:bCs/>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5．护理任务：展示患者的护理类医嘱，方便护士执行时自主查询；</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6．消息提醒：具备自动提醒与手动推送两种形式，自动提醒支持欠费提醒、服药提醒、信息变更提醒、手术提醒、检查检验提醒等，手动推送支持对阅读状态的统计；</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7．费用查询：查询患者住院期间产生的费用清单、费用余额等费用信息；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8．检查检验：可以调阅患者住院至今的各类检查报告以及检验结果，在查看检验结果详情表的同时，可以查看检验单项的历史趋势图；</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9．体征数据：可录入与查看患者单项体征数据，系统自动根据体征数据各类体征趋势图表，不必再抄写转录，提升工作效率；</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10．智能闹钟：吸氧、皮试及其他辅助器械使用时，可设置闹钟计时提醒；</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11．医疗计算器：内置医疗计算器，包括“静脉补液滴速”“平均动脉压”“日胰岛素用量”等，护士输入完成相关项后，自动计算结果；</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12．播放广播：护士站医护主机进行广播时，床头分机可以播放相应广播内容；</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13．宕机呼叫“服务器重启、宕机、停电等特殊情况均不影响正常患者向主机的呼叫功能；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14．屏幕亮度调整：支持后台配置多时间段终端音量，可根据医院作息灵活控制；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15．终端音量调整：支持后台配置多时间段终端音量，可根据医院作息灵活控制；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16．吸氧到时提醒：可手动设置吸氧时间，吸氧到时后可主动提醒“XX床吸氧结束”；</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17．回音消除：具备回音消除算法，优化通话噪音，提高通话质量；</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18．自动增益：患者或家属说话声音小时也可保证通话效果，无需护士到床头二次确认；</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19．噪音抑制：通过噪音抑制法，降低通话中的环境噪音，提高通话质量；</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20．网络抖动抑制：可在弱网环境下提供高效网络传输、通话功能，提升用户通讯体验；</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21．硬件看门狗：硬件看门狗设计，支持设备异常时自动重启功能；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22．硬件重启：支持通过实体组合按键，完成硬件重启功能，并设有防误触机制；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23．延时上电：为防止多设备同时启动时瞬时电流过大，设备支持延时上电功能。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24. 加密模块：床头分机功能支持自定义的功能模块加密(如检查报告、医嘱等信息)，支持对于一些高度敏感的检查报告，进行权限访问设置，且与医院的权限管理系统进行集成，实现用户身份认证和权限的统一管理。科室可按实际情况进行加密功能的自主管理，通过后台进行功能配置。</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医用床旁交互系统定制化服务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spacing w:line="360" w:lineRule="auto"/>
              <w:rPr>
                <w:rFonts w:ascii="宋体" w:hAnsi="宋体"/>
                <w:color w:val="000000"/>
                <w:sz w:val="18"/>
                <w:szCs w:val="18"/>
              </w:rPr>
            </w:pPr>
            <w:r>
              <w:rPr>
                <w:rFonts w:hint="eastAsia" w:ascii="宋体" w:hAnsi="宋体"/>
                <w:color w:val="000000"/>
                <w:sz w:val="18"/>
                <w:szCs w:val="18"/>
              </w:rPr>
              <w:t xml:space="preserve">1．患者登录与注销：患者校验身份后方可使用分机功能，防止医疗信息泄露；</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2．医护登录与注销：医护人员通过账号、刷卡等多种方式验证后进入相应的功能界面，防止误操作和信息泄露；</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3．床位切换：医护人员在护士、医生端页面切换查看其他床位患者相关信息；</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4．待机画面：一段时间不操作后自动展示患者床头卡，省去多余操作；</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5．护士端、医生端自动退出：护士端、医生端一段时间不操作后自动返回患者端，防止重要信息泄露；</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6．护理床头卡：显示患者的各项信息，如姓名、床号、性别、年龄、入院日期、过敏史、饮食类型等基本信息以及防跌倒、防压疮、非计划拔管等预警信息，可针对性定制，大字体着重晨示，护理信息一目了然；</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7．患者信息：全面展示患者的个人信息、过敏史、饮食类型以及预算信息，覆盖面广；</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8．治疗安排：展示患者最近的治疗安排信息，让患者做到心中有数；</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9．医护巡视：医护人员在日常巡房完成后利用床旁分机刷卡留痕，系统自动统计巡视人员、巡视时间、巡视床位等信息；</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10．闹钟提醒：护士在皮试完成后设置皮试闹钟，定时自动提醒皮试时间；</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11．电视直播：让患者在治疗之余收看电视节目，打发闲暇时光；</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12．视频点播：患者根据个人喜好选择观看本地各类影视剧等节目，丰富住院娱乐；</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13．音乐戏曲：播放各类曲目类型的音乐为患者营造舒适的住院环境，缓解压力，放松心情；</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14．电子书：提供电子书供患者阅读查看；</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15．益智游戏：患者可在床旁选择喜欢的各类益智小游戏，缓解情绪；</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16．餐厅点餐：打通患者与院内餐厅线上通道，显示餐品的分类、名称、价格、图片、简介等信息，加入购物车后集中结算，实现病房线上点餐；</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17．商超购物：打通患者与院内商超线上通道，显示商品的分类、名称、价格、图片、简介等信息，加入购物车后集中结算，实现病房线上购物；</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18．护工聘请：打通患者与院内护工中心线上通道，显示商品的分类、名称、价格、图片、简介等信息，加入购物车后集中结算，实现病房线上护工聘请；</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19．商品推荐：展示院内商家店铺主推商品，重点推荐患者选择；</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20．订单查看：患者在床旁分机查看服务订单信息，管理自己所付订单；</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21．患者特色化宣教：系统根据患者诊断等信息，自动匹配展示与其相关宣教文章，方便患者查看有助于自身康复的知识宣教；</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22．病区宣教：展示患者所在病区的宣教文章，进行病区内特色宣教；</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23．全院宣教：展示缴费流程等全院统一的宣传文章，让患者更加了解医院相关信息；</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24．宣教文章：全面支持文字、图片、音频、视频等形式的健康宣教，方便患者理解；</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25．宣教自动朗读：自动朗读宣教文章中的文字内容，方便患者直接聆听；</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26．宣教情况：患者对宣教文章的了解情况，包括未阅读、未了解、未签字等状态，方便护士有针对性的宣教；</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27．调查问卷：患者填写调查问卷，自动统计调查结果，让医院服务更有针对性；</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28．智能提醒：自动提醒患者缴费、检查检验等信息，减轻护理人员负担；</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29．推送消息强提醒：强提醒医护人员手动推送信息，方便了解患者消息阅读情况；</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30．费用查询：患者在床旁直接查询住院至今的各类住院费用，实时了解每日费用信息；</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31．充值结算：手机扫描床旁二维码完成账户充值或结算，患者不必再在窗口排队缴费；</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32．物联网体征采集：配合物联网体征采集设备，通过床旁分机上传体征数据，缩短体征录入流程，减轻护士的工作量；</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33．患者详情：医护人员查询患者的各类信息，全面覆盖患者各个阶段；</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34．体征管理：护理人员在床旁管理患者体征数据，不必再抄写转录，提升工作效率；</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35．体征趋势图：根据患者体征数据自动生成体温单以及各类体征趋势图，形象直观；</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36．体温单：在线调阅患者体温单，查房时不必再携带纸质体温单；</w:t>
            </w:r>
            <w:r>
              <w:rPr>
                <w:rFonts w:ascii="宋体" w:hAnsi="宋体"/>
                <w:color w:val="000000"/>
                <w:sz w:val="18"/>
                <w:szCs w:val="18"/>
              </w:rPr>
            </w:r>
            <w:r/>
          </w:p>
          <w:p>
            <w:pPr>
              <w:pStyle w:val="915"/>
              <w:spacing w:line="360" w:lineRule="auto"/>
              <w:rPr>
                <w:rFonts w:ascii="宋体" w:hAnsi="宋体"/>
                <w:strike/>
                <w:color w:val="000000"/>
                <w:sz w:val="18"/>
                <w:szCs w:val="18"/>
              </w:rPr>
            </w:pPr>
            <w:r>
              <w:rPr>
                <w:rFonts w:hint="eastAsia" w:ascii="宋体" w:hAnsi="宋体"/>
                <w:color w:val="000000"/>
                <w:sz w:val="18"/>
                <w:szCs w:val="18"/>
              </w:rPr>
              <w:t xml:space="preserve">37．检查报告：显示患者住院期间的检查报告，支持查看报告详情以及在线阅片；</w:t>
            </w:r>
            <w:r>
              <w:rPr>
                <w:rFonts w:ascii="宋体" w:hAnsi="宋体"/>
                <w:strike/>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38．检查结果：显示患者住院期间的检验结果，并在检验结果表中着重标记异常项；</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39．医嘱执行：在护士端获取到患者医嘱后进行展示，可分类查询，通过页面操作在医嘱执行完成之后可直接操作进行医嘱执行；</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40．▲护理记录：录入维护一般护理记录单、特殊护理记录单等各类护理记录单；护理评估：操作患者的跌倒、压疮等各类风险评估单，评估完成之后系统自动统计风险级别；宣教记录：查看患者宣教文章阅读情况，可以向指定患者推送宣教文章；交接记录：录入维护手术交接、转科交接等交接记录，记录患者转入转出信息；病历病程：医生可调阅患者住院至今的所有病历病程记录，不用再携带纸质版病历。（需提供产品功能实拍照片或者功能截图并提供投标人加盖公章的承诺函）；</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41．交接班：护士进行交接班时，利用床旁分机快速整理交班记录，维护关键交班信息；</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42．手术安排：查看患者近期的手术安排情况，帮助医护人员合理安排术前术后治疗计划；</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43．患者呼叫：一键直呼医护主机，便捷化操作让护理通讯更有效；</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44．增援呼叫：迅速直呼医护主机，方便护理人员迅速定位所需增援床位；</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45．屏幕亮度调整：支持后台配置多时间段屏幕亮度或亮、息屏，可根据医院作息灵活控制；</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46．终端亮度调整：支持后台配置多时间段终端音量，可根据医院作息灵活控制；</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47．回音消除：具备回音消除算法，优化通话噪音，提高通话质量；</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48．自动增益：患者或家属说话声音小时也可保证通话效果，无需护士到床头二次确认；</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49．噪音抑制：通过噪音抑制算法，降低通话中的环境噪音，提高通话质量；</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50．网络抖动抑制：在弱网环境下提供高效网络传输、通话功能，提升用户通讯体验；</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51．硬件看门狗：硬件看门狗设计，支持设备异常时自动重启功能；</w:t>
            </w:r>
            <w:r>
              <w:rPr>
                <w:rFonts w:ascii="宋体" w:hAnsi="宋体"/>
                <w:color w:val="000000"/>
                <w:sz w:val="18"/>
                <w:szCs w:val="18"/>
              </w:rPr>
            </w:r>
            <w:r/>
          </w:p>
          <w:p>
            <w:pPr>
              <w:pStyle w:val="915"/>
              <w:spacing w:line="360" w:lineRule="auto"/>
              <w:rPr>
                <w:rFonts w:ascii="宋体" w:hAnsi="宋体"/>
                <w:color w:val="000000"/>
                <w:sz w:val="18"/>
                <w:szCs w:val="18"/>
              </w:rPr>
            </w:pPr>
            <w:r>
              <w:rPr>
                <w:rFonts w:hint="eastAsia" w:ascii="宋体" w:hAnsi="宋体"/>
                <w:color w:val="000000"/>
                <w:sz w:val="18"/>
                <w:szCs w:val="18"/>
              </w:rPr>
              <w:t xml:space="preserve">52．硬件重启：支持通过实体按键完成硬件重启功能；</w:t>
            </w:r>
            <w:r>
              <w:rPr>
                <w:rFonts w:ascii="宋体" w:hAnsi="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olor w:val="000000"/>
                <w:sz w:val="18"/>
                <w:szCs w:val="18"/>
              </w:rPr>
              <w:t xml:space="preserve">53．延时上电：为防止多设备同时启动时瞬时电流过大，设备支持延时上电功能。</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5</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病房门口系统定制化服务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1.房间信息展示：显示房间名及其包含床位；</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2.患者信息展示：显示房间内床位号与患者信息；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3.护士进入：定位护士进入哪个房间，同时清除本房间的未处理呼叫；</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4.宣教文章展示：支持图文、音频、视频等形式展示诸如病区简介等宣教文章；</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5.医护列表：展示本科室的医护信息；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6.呼叫响应：对本房间患者呼叫进行显示与门灯闪烁提醒；</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7.呼叫患者：支持向病区患者发起呼叫，接通后可进行音视频通话，支持自动接通。</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8.呼叫医护：支持向医护主机发起呼叫，接通后可进行音视频通话。</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9.接收呼叫：支持接听、挂断、忽略三种形式的处理呼叫方式，选择“忽略”后只会挂断在当前终端的呼叫请求，而不影响其他终端接收；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10.呼叫优先级：支持开启与关闭呼叫优先级功能，开启后，高优先级的呼叫发起后将自动中断进行中的低优先级呼叫，优先显示处理高优先级的呼叫请求；</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11.通话保持：当医护主机正在进行音视频通话的时候，收到其他终端发来的呼叫通话请求，可以将当前通话设为保持状态，与其他终端进行音视频通话；</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12.多路通话：支持一病区多主机模式，当一个主机正在通话中时，不影响其他主机等终端处理患者呼叫；</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13.门灯颜色配置：针对患者呼叫类型与患者护理级别的不同进行不同颜色门灯的闪烁提醒；</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14.护士查房：配合护士身份卡完成记录护士查房信息；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15.模式切换：支持管房与管床两种显示模式的自由切换。</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6</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病区人脸识别系统定制化服务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1.信息展示：展示提示信息，引导用户快速使用终端功能，提示信息可以自行修改；</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2.自动唤醒人脸识别：用户靠近终端后，终端自动唤醒人脸识别功能，识别用户是否可以打开门禁；</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3.刷脸开门：终端通过人脸识别验证用户是否具备门禁权限，验证通过后，打开门禁；</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4.刷卡开门：终端通过门禁卡验证用户是否具备门禁权限，验证通过后，打开门禁；</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5.密码开门：终端通过门禁密码验证用户是否具备门禁权限，验证通过后，打开门禁，支持一机一码；</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6.请求开门：访客通过终端向病区医护人员发送视频开门请求，医护人员通过后，打开门禁，支持多终端接收、处理开门请求；</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7.视频通话：支持单向视频与双向视频两种方式。单向视频时，医护人员不需要接听即可看到终端摄像头的画面，通话过程中终端始终显示本地摄像头画面；</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8.接收呼叫：能够接收医护主机的主动呼叫，无需接听自动接通；</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9.远程开门：医护人员使用医护终端打开门禁；</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bCs/>
                <w:color w:val="000000"/>
                <w:sz w:val="18"/>
                <w:szCs w:val="18"/>
              </w:rPr>
              <w:t xml:space="preserve">10.开门提示：通过补光灯闪烁不同的颜色、语音播报等方式提示用户是否通过验证打开门禁；门禁记录：本机记录开门记录，包括“开门时间”“开门方式”“门禁名称”“是否开门”“体温”“照片”等字段，并统一上传至服务器以供查询。；</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11.防拆报警：非正常拆卸终端时，终端进行声光报警，屏幕显示报警提示；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12.断网工作：终端断网时，不影响使用刷脸开门、刷卡开门、密码开门等功能；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13.宕机工作：服务器宕机时，终端断网时，不影响使用刷脸开门、刷卡开门、密码开门等功能；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14.定时常开：设定常开时间段后，到时终端自动打开门禁，并保持一直开启；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15.控制方式：支持继电器、韦根26、韦根34等门禁控制方式；</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16.屏幕亮度调整：支持后台配置多时间段屏幕亮度或亮、息屏，可根据医院作息灵活控制；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17.终端音量调整:支持后台配置多时间段终端音量，可根据医院作息灵活控制；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18.回音消除:具备回音消除算法，优化通话噪音，提高通话质量；</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19.噪音抑制:通过噪音抑制算法，降低通话中的环境噪音，提高通话质量；</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20.网络抖动抑制:可在弱网环境下提供高效网络传输、通话功能，提升用户通讯体验；</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21.硬件看门狗:硬件看门狗设计，支持设备异常时自动重启功能；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22.硬件重启:支持通过实体按键完成硬件重启功能；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23.延时上电:为防止多设备同时启动时瞬时电流过大，设备支持延时上电功能。</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7</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走廊发布系统定制化服务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1.呼叫信息展示：展示当前正在进行以及未处理的呼叫信息；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2.呼叫播报：支持对当前未处理的呼叫信息进行语音播报；</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3.信息发布：当系统无呼叫时，展示本护理单元的信息发布类文章，支持定时播放与轮播；</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4.播放视频：当系统无呼叫时信息发布时，展示本护理单元的信息发布视频；</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5.外扩喇叭输出：支持外接喇叭，呼叫播报及视频声音可在外扩喇叭外发声。</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8</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病区智能交互系统定制化服务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1.APP管理：应用和系统分离，安装简单，后期维护方便；</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2.病区呼叫系统对接：支持与呼叫系统对接，展示病床呼叫、紧急报警，呼叫等待，护士进入，增援呼叫等动态信息；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3.病区首页：</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a.展示病区统计信息，支持自定义配置；</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b.展示护理任务提醒，系统可自动更新。护理任务项目支持自定义配置；</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c.呼叫信息可对接病房呼叫信息，实现呼叫信息的联动显示；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d.接收并展示病区公告、全院公告等信息；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4.处置查询：护理治疗信息分类展示，便于查看护理任务，同时可展示护理项目的执行状态，便于了解执行进度；</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5.床位一览：</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a.病区床位信息展示，包含患者的关键信息：床号、姓名、费用、护 理等级、过敏等信息。患者姓名可根据设置进行隐私保护展示；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b.展示患者护理标识，包含患者风险护理标识、费别、待测评估等信息，可自定义配置显示项目和显示样式；</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c.通过患者一览卡查看患者信息、患者动态、检查检验信息、医嘱详情等内容；</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d.存在简卡和详卡两种方式，简卡方便护理人员看到病区患者床位安排情况，详卡方便护理人员查看患者情况，简单切换方便护理人员使用；</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6.手术检查：可展示病区患者的手术信息 和检查信息，便于护士查看；</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7.医护排班：可根据排班情况展示排班流水信息，也可按护理分组、医疗分组展示相关分管床位信息；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8.病区宣教：可展示病区宣教、全院宣教信息，支持文本、视频、音频的直接展示，便于进行患者宣教或集中宣教；</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9.交班信息：可按日期、班次展示病区交班信息 ，可对交班信息进行查看，编辑等操作；</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10.手写板：独立的备忘录界面，涂鸦自然式书写，方便护士随手记录备忘信息，方便护理病区交班。备注信息可留存历史记录，随时编辑更新；</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11.展示内容配置：展示页面内容、顺序，可自定义配置，满足不同科室不同的需求；</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12.切换展示：展示内容可通过设置自动进行切换展示，切换时长可自定义配置；</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13.系统设置：可通过浏览器对展示内容设置切换时间，可对调床信息、常用联系方式等内容进行手动维护；</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9</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输液监控系统定制化服务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1.支持对不同的输液状态进行图像提醒及语音播报提醒；</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2.支持将输液完成及输液异常的床位自动顶置；</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3.输液控制设备探测到输液管路中有空气时，系统发出声音及图像提醒；</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4.输液控制设备探测到当前输液堵塞、输液持续过快/过慢、输液完成时，系统发出声音及图像提醒；</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5.输液控制设备当前电量过低时，系统发出声音及图像提醒；</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6.输液控制设备探测到输液由异常状态恢复正常时，提醒图像恢复正常；</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7.支持自由设置堵塞报警延迟时间，延迟时间内恢复正常输液时不报警，未恢复时报警。</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10</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AI智能输液识别系统定制化服务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1、可直接通过床头分机设备中的摄像头进行输液画面捕捉，无需增加额外的摄像头等图像采集设备；</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2、支持图像采集扩展，对接外部第三方摄像头画面捕捉信息进行识别计算；</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3、支持联动护士扫码，通过患者信息的联动，可唤起该患者床头分机开启摄像头的提示；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4、可识别输液中/输液完成/输液异常等状态，同时对药液余量百分比进行计算，可通过后台配置对异常/低阈值等状态进行告警推送配置，联动护士站主机/护理看板进行告警，同步发送异常画面以辅助人工判断；</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5、支持阅后即删除，仅保留算法判断的状态画面以供决策，保障患者隐私；</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6、当多药液进行排队输液时或进行换药操作时，支持自主识别正在输液中的药液袋/瓶；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7、支持配置画面获取间隔时间；</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8、支持可配置手动关闭监控画面。</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bCs/>
                <w:color w:val="000000"/>
                <w:sz w:val="20"/>
                <w:szCs w:val="20"/>
                <w:lang w:bidi="ar"/>
              </w:rPr>
              <w:t xml:space="preserve">◆</w:t>
            </w:r>
            <w:r>
              <w:rPr>
                <w:rFonts w:hint="eastAsia" w:ascii="宋体" w:hAnsi="宋体" w:cs="宋体"/>
                <w:color w:val="000000"/>
                <w:sz w:val="18"/>
                <w:szCs w:val="18"/>
              </w:rPr>
              <w:t xml:space="preserve">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1</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室内定位感知系统定制化服务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1.可在地图界面同时显示账号关联的所有人员（老人、护工、其他）实时位置信息，人员图标支持自定义；</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2.可在地图界面显示不同区域的人员数量以及该区域内的人员信息；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3.具有在地图界面上实时追踪人员位置功能；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4.具有在地图界面对人员在某段时间段内的历史行为轨迹进行回放分析，并以时光轴进行展示；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5.绘制电子围栏，支持报警发生时，在地图界面进行弹窗提醒，弹窗显示报警事件及触发人员的详细信息，管理人员可处理报警；</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6.支持人员SOS报警、越界报警、滞留报警；支持老人/患者佩戴设备发起SOS告警后，能够通知到护工/护士佩戴设备；</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7.支持设备低电量报警、离线报警；</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8.支持人员类型与属性字段自定义；</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9.支持设备管理、设备电量监控与状态展示；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10.支持报警信息查询与展示、导出；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11.支持报警信息在走廊显示屏、大屏、主机上展示；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12.可通过账号关联区域、人员以及设备，从而提供不同人员，不同查看内容；</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13.支持业务拓展应用，基于部署的通信网设备、定位网设备及GIS地图，可完全兼容呼叫系统、信息发布系统。</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bCs/>
                <w:color w:val="000000"/>
                <w:sz w:val="20"/>
                <w:szCs w:val="20"/>
                <w:lang w:bidi="ar"/>
              </w:rPr>
              <w:t xml:space="preserve">◆</w:t>
            </w:r>
            <w:r>
              <w:rPr>
                <w:rFonts w:hint="eastAsia" w:ascii="宋体" w:hAnsi="宋体" w:cs="宋体"/>
                <w:color w:val="000000"/>
                <w:sz w:val="18"/>
                <w:szCs w:val="18"/>
              </w:rPr>
              <w:t xml:space="preserve">系统具备无感护理巡视记录与导出功能，护士佩戴胸卡进入房间护理时自动记录时间与床位，无需做任何护理外动作，护士站大屏可展示护士所在房间等相关信息。</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12</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地图引擎系统定制化服务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1.要求为国产品牌，原厂生产商拥有完全的自主知识产权，非OEM产品；</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GIS地图绘制，通过建筑原有CAD图纸或通过现场测绘，建立覆盖全范围的数字3D矢量地图，地图包括建筑楼宇、建筑楼宇的楼层结构、楼层的房间布局、室内道路、天桥通道、室外道路、绿化、停车场和出入口等等全部元素，可呈现2D和3D效果；</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3.支持多源数据的加载，能实现3D建模、2.5D地图等多种地图数据的加载；同时可以对数字地图进行2D与3D显示切换；</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4.支持WGS_1984_Web_Mercator_Auxiliary_Sphere坐标系；</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5.具有数字地图预览等操作，包括放大、缩小，平移、旋转、分级显示等；</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6.地图内的结构或科室均有符合医院标准的名称标注，可点击查看具体模型信息，且名称与详细内容可以通过系统后台进行设置；</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7.地图可360度旋转，地图旋转时，保持字体正向显示；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8.室内外一体化，支持室外场景同屏加载，无缝渲染；</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9.具有开放的地图生态，提供丰富的地图SDK接口，具有很强的扩展性；</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10.地图标绘高度集成，支持定制化，样式丰富，开发简单；</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11.可根据地图大小，自动调整默认显示放大级别；</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12.支持离线地图，地图需部署在本地服务器。</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13</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数据驾驶舱系统定制化服务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1.设备数量和设备状态数据可视化展示；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2.服务器关键硬件使用指标，包含处理器占用、RAM占用、ROM占用等数据的可视化展示；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3.关键服务状态的可视化数据展示；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4.各类预警、报警、呼叫信息的可视化数据展示；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5.用户实时预警信息的可视化数据展示；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6.用户使用提供的可穿戴设备采集的体征数据的可视化数据展示；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7.实时定位地图的2D/3D可视化展示；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8.当前时间，系统运行时间、版权信息等数据的可视化展示。</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4</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地图绘制系统定制化服务</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1.应根据项目CAD图纸进行面积测算及电子地图绘制，包含基础地面和墙体，不包含陈列物、家居（具）等物品的绘制。</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5</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病房电视系统软件</w:t>
            </w: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1.自定义开机页面</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医院每个科室都可通过管理端自定义开机画面以及欢迎词，提高医院科室个性化展示样式，提升医院形象，让患者打开电视就能感觉到医院的贴心，缓和患者的住院紧张感，增强患者用户体验。</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2.自定义首页页面</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医院每个科室都可通过管理端医院页面功能可以根据需要自定义宣教内容;自主编辑医院服务和介绍，提高医院科室个性化展示样式，促进医院信息化展示。</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3.视频点播</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提供本地视频点播，支持分类搜索和模糊搜索，可根据搜索结果展示对应的搜索项展示，以及热门电影推荐。功能完美嵌入首页菜单，用户操作简单快捷，医院也可自行上传视频资源，并且可以增加视频介绍。</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4.电视直播</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直播节目，秒切换台</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多信源采集：支持广电、运营商、自办节目、卫星多种信源</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5.宣教功能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医院健康宣教功能：支持针对医院、科室和病种的针对性多媒体宣教</w:t>
            </w:r>
            <w:r>
              <w:rPr>
                <w:rFonts w:ascii="宋体" w:hAnsi="宋体" w:cs="宋体"/>
                <w:color w:val="000000"/>
                <w:sz w:val="18"/>
                <w:szCs w:val="18"/>
              </w:rPr>
              <w:t xml:space="preserve"></w:t>
            </w:r>
            <w:r>
              <w:rPr>
                <w:rFonts w:hint="eastAsia" w:ascii="宋体" w:hAnsi="宋体" w:cs="宋体"/>
                <w:color w:val="000000"/>
                <w:sz w:val="18"/>
                <w:szCs w:val="18"/>
              </w:rPr>
              <w:t xml:space="preserve">健康宣教展示，健康宣教信息主要包含疾病预防、疾病治疗、疾病康复管理、健康生活方式、合理营养膳食、戒烟知识、戒烟医院服务信息等信息，可在病房进行宣传，普及健康知识。</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宣教功能：支持音频、视频、图文的方式发布软件内容，为医院的宣教需求开通多种展现形式，适应各种医院要求。</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6.公告发布功能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支持强提醒和滚动字幕类型不同形式的公告发布。医院可根据公告的重要程度自行选择发布公告的形式。</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7.◆可在病房电视通过患者鉴权信息查看自己的检查检验信息、费用信息和专属宣教视频。</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8.针对患者病情单独推送的针对性宣教内容，宣教内容信息由科室提供。</w:t>
            </w:r>
            <w:r>
              <w:rPr>
                <w:rFonts w:ascii="宋体" w:hAnsi="宋体" w:cs="宋体"/>
                <w:color w:val="000000"/>
                <w:sz w:val="18"/>
                <w:szCs w:val="18"/>
              </w:rPr>
            </w:r>
            <w:r/>
          </w:p>
        </w:tc>
      </w:tr>
      <w:tr>
        <w:trPr>
          <w:trHeight w:val="270"/>
        </w:trPr>
        <w:tc>
          <w:tcPr>
            <w:shd w:val="clear" w:color="auto" w:fill="ffffff"/>
            <w:tcW w:w="680"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6</w:t>
            </w:r>
            <w:r>
              <w:rPr>
                <w:rFonts w:ascii="宋体" w:hAnsi="宋体" w:cs="宋体"/>
                <w:color w:val="000000"/>
                <w:sz w:val="18"/>
                <w:szCs w:val="18"/>
              </w:rPr>
            </w:r>
            <w:r/>
          </w:p>
        </w:tc>
        <w:tc>
          <w:tcPr>
            <w:shd w:val="clear" w:color="auto" w:fill="ffffff"/>
            <w:tcW w:w="477" w:type="dxa"/>
            <w:vAlign w:val="center"/>
            <w:vMerge w:val="continue"/>
            <w:textDirection w:val="lrTb"/>
            <w:noWrap w:val="false"/>
          </w:tcPr>
          <w:p>
            <w:pPr>
              <w:pStyle w:val="915"/>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pStyle w:val="915"/>
              <w:jc w:val="left"/>
              <w:spacing w:line="360" w:lineRule="auto"/>
              <w:widowControl/>
              <w:rPr>
                <w:rFonts w:ascii="宋体" w:hAnsi="宋体" w:cs="宋体"/>
                <w:color w:val="000000"/>
                <w:sz w:val="18"/>
                <w:szCs w:val="18"/>
              </w:rPr>
            </w:pPr>
            <w:r>
              <w:rPr>
                <w:rFonts w:ascii="宋体" w:hAnsi="宋体" w:cs="宋体"/>
                <w:color w:val="000000"/>
                <w:sz w:val="18"/>
                <w:szCs w:val="18"/>
              </w:rPr>
            </w:r>
            <w:r/>
          </w:p>
          <w:p>
            <w:pPr>
              <w:pStyle w:val="915"/>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智能药品管控系统软件</w:t>
            </w:r>
            <w:r>
              <w:rPr>
                <w:rFonts w:ascii="宋体" w:hAnsi="宋体" w:cs="宋体"/>
                <w:bCs/>
                <w:color w:val="000000"/>
                <w:sz w:val="18"/>
                <w:szCs w:val="18"/>
              </w:rPr>
            </w:r>
            <w:r/>
          </w:p>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6490" w:type="dxa"/>
            <w:vAlign w:val="center"/>
            <w:textDirection w:val="lrTb"/>
            <w:noWrap w:val="false"/>
          </w:tcPr>
          <w:p>
            <w:pPr>
              <w:pStyle w:val="915"/>
              <w:jc w:val="left"/>
              <w:spacing w:line="360" w:lineRule="auto"/>
              <w:widowControl/>
              <w:rPr>
                <w:rFonts w:ascii="宋体" w:hAnsi="宋体" w:cs="宋体"/>
                <w:color w:val="000000"/>
                <w:sz w:val="18"/>
                <w:szCs w:val="18"/>
              </w:rPr>
            </w:pPr>
            <w:r/>
            <w:bookmarkStart w:id="203" w:name="_Hlk208999830"/>
            <w:r>
              <w:rPr>
                <w:rFonts w:hint="eastAsia" w:ascii="宋体" w:hAnsi="宋体" w:cs="宋体"/>
                <w:color w:val="000000"/>
                <w:sz w:val="18"/>
                <w:szCs w:val="18"/>
              </w:rPr>
              <w:t xml:space="preserve">1.药品配送以及药品领用</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入库：根据配送包条码信息扫码核对药品、耗材，并将药品耗材的效期、批号等信息自动录入，系统自动打开相应单元格放入药品耗材，完成配送。当配送包条码信息不全或没有条码时，支持手动录入药品耗材的名称、效期、批号信息来完成配送。</w:t>
            </w:r>
            <w:r>
              <w:rPr>
                <w:rFonts w:ascii="宋体" w:hAnsi="宋体" w:cs="宋体"/>
                <w:color w:val="000000"/>
                <w:sz w:val="18"/>
                <w:szCs w:val="18"/>
              </w:rPr>
            </w:r>
            <w:r/>
          </w:p>
          <w:p>
            <w:pPr>
              <w:pStyle w:val="915"/>
              <w:jc w:val="left"/>
              <w:spacing w:line="360" w:lineRule="auto"/>
              <w:widowControl/>
              <w:rPr>
                <w:rFonts w:hint="eastAsia" w:ascii="宋体" w:hAnsi="宋体" w:cs="宋体"/>
                <w:color w:val="000000"/>
                <w:sz w:val="18"/>
                <w:szCs w:val="18"/>
              </w:rPr>
            </w:pPr>
            <w:r>
              <w:rPr>
                <w:rFonts w:hint="eastAsia" w:ascii="宋体" w:hAnsi="宋体" w:cs="宋体"/>
                <w:color w:val="000000"/>
                <w:sz w:val="18"/>
                <w:szCs w:val="18"/>
              </w:rPr>
              <w:t xml:space="preserve">（2）医嘱领用:支持根据医嘱信息领用药品耗材，领用时系统智能选取效期最近的药品并自动打开相应单元格，完成领用。</w:t>
            </w:r>
            <w:r>
              <w:rPr>
                <w:rFonts w:hint="eastAsia"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3）毒麻药品领用：要求支持双人双确认方式进行毒麻药品的领用；</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（4）临时领用:支持没有医嘱状态下药品耗材的领用，领用信息可与病人信息关联；领用时系统智能选取效期最近的药品并自动打开相应单元格，完成领用。</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5）</w:t>
            </w:r>
            <w:r>
              <w:rPr>
                <w:rFonts w:hint="eastAsia" w:ascii="宋体" w:hAnsi="宋体" w:cs="宋体"/>
                <w:color w:val="000000"/>
                <w:sz w:val="18"/>
                <w:szCs w:val="18"/>
              </w:rPr>
              <w:t xml:space="preserve">紧急领用</w:t>
            </w:r>
            <w:r>
              <w:rPr>
                <w:rFonts w:ascii="宋体" w:hAnsi="宋体" w:cs="宋体"/>
                <w:color w:val="000000"/>
                <w:sz w:val="18"/>
                <w:szCs w:val="18"/>
              </w:rPr>
              <w:t xml:space="preserve">:支持紧急状态下的药品耗材根据名称的直接领用。</w:t>
            </w:r>
            <w:r>
              <w:rPr>
                <w:rFonts w:hint="eastAsia" w:ascii="宋体" w:hAnsi="宋体" w:cs="宋体"/>
                <w:bCs/>
                <w:color w:val="000000"/>
                <w:sz w:val="18"/>
                <w:szCs w:val="18"/>
              </w:rPr>
              <w:t xml:space="preserve">要求提供系统截图并加盖公章。</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2.药品补货</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(1)补货计划:根据配送周期或药品存量低于预警值时自动生成补货计划支持与第三方系统进行补货计划交互联动。</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3.退药管理</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(1)退药入库:支持对领出的药品进行退库操作，可以与第三方系统进行退药入库时间交互联动。</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4.药品盘点</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(1)支持柜体存药的智能盘点，可根据配送信息、使用信息进行数量核对，有误差时可手工校正，可以与第三方系统进行盘点时间交互联动。</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5.药品效期管理</w:t>
            </w:r>
            <w:r>
              <w:rPr>
                <w:rFonts w:ascii="宋体" w:hAnsi="宋体" w:cs="宋体"/>
                <w:color w:val="000000"/>
                <w:sz w:val="18"/>
                <w:szCs w:val="18"/>
              </w:rPr>
            </w:r>
            <w:r/>
          </w:p>
          <w:p>
            <w:pPr>
              <w:pStyle w:val="915"/>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(1)效期提醒:▲系统遵循药品先进先出的效期管理模式，对于使用较少的药品在效期小于预设值时以不同颜色提醒。要求提供系统截图并加盖公章。</w:t>
            </w:r>
            <w:r>
              <w:rPr>
                <w:rFonts w:ascii="宋体" w:hAnsi="宋体" w:cs="宋体"/>
                <w:bCs/>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6.信息查询</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(1)库存明细:支持根据药品耗材名称、规格查询柜体内存量情况，查询结果包含：柜层、格子、名称、规格、失效时间、批号、数量等信息。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领用明细:支持根据药品耗材名称、规格和时间等条件查询领用详细情况，查询结果包含：领用时间、领用人、药品耗材名称、规格、领用数、放置的位置、生产批号、失效日期、病人姓名、住院号、床号等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(3)入库明细:支持根据药品耗材名称、规格和时间等条件查询药品耗材配送入柜的情况，查询结果包含：入库时间、入库人、药品耗材名称、规格、入库数量、放置位置、失效日期等信息。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(4)盘点明细:支持根据药品耗材名称、规格和时间等条件查询柜体存量的历次盘点情况，查询结果包含：盘点时间、失效日期、批次号、药品耗材名称、规格、盘点数、原库存、位置、盘点人等信息。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(5)差错明细:支持根据药品耗材名称、规格和时间等条件查询盘点中出现差错的情况，查询结果包含：放置位置、药品耗材名称、规格、操作人、原数量、核对数量、差额、操作类别等信息。</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(6)交接班查询:可查询交接班记录信息：交班人，接班人，交接时间</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7.统计分析</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(1)领用统计:可对某科室，某时间段内的用药情况统计</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(2)病人用药:可根据病历号查询病人的用药记录</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(3)入库统计:可对某科室，某时间段内的药品入库信息进行统计</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(4)库存统计:可按科室进行实时库存统计</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(5)设备统计:可按设备的进行实时库存统计</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(6)异常统计:可对某科室、某时间段内异常领用的用药汇总，并提供明细表</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(7)辅助决策:可根据用药历史记录提供合理的推荐库存</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ascii="宋体" w:hAnsi="宋体" w:cs="宋体"/>
                <w:color w:val="000000"/>
                <w:sz w:val="18"/>
                <w:szCs w:val="18"/>
              </w:rPr>
              <w:t xml:space="preserve">8、空瓶回收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1）回收登记：要求对使用后的毒麻药品的空瓶进行回收；</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2）清理空瓶：支持对回收箱中的空瓶进行清理功能。</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ascii="宋体" w:hAnsi="宋体" w:cs="宋体"/>
                <w:color w:val="000000"/>
                <w:sz w:val="18"/>
                <w:szCs w:val="18"/>
              </w:rPr>
              <w:t xml:space="preserve">9</w:t>
            </w:r>
            <w:r>
              <w:rPr>
                <w:rFonts w:hint="eastAsia" w:ascii="宋体" w:hAnsi="宋体" w:cs="宋体"/>
                <w:color w:val="000000"/>
                <w:sz w:val="18"/>
                <w:szCs w:val="18"/>
              </w:rPr>
              <w:t xml:space="preserve">.配置管理</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(1)用户管理:新增、修改、删除院内用户、并设置相应权限</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(2)修改密码:对当前系统登陆者进行修改密码、指纹录入等操作。</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(3)指纹录入:对当前智能药柜有操作权限的所有用户指纹信息的录入保存。</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(4)药品管理:对当前智能药柜每层每格存放的药品种类、单格基准数量、预警信息进行配置。</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(5)柜体信息维护:支持管理全院的智能药柜柜体的定义配置；包含柜体编号、柜体名称、所属科室、柜体层数信息。要求提供系统截图并加盖公章。</w:t>
            </w:r>
            <w:r>
              <w:rPr>
                <w:rFonts w:ascii="宋体" w:hAnsi="宋体" w:cs="宋体"/>
                <w:color w:val="000000"/>
                <w:sz w:val="18"/>
                <w:szCs w:val="18"/>
              </w:rPr>
            </w:r>
            <w:r/>
          </w:p>
          <w:p>
            <w:pPr>
              <w:pStyle w:val="915"/>
              <w:spacing w:line="360" w:lineRule="auto"/>
              <w:rPr>
                <w:rFonts w:ascii="宋体" w:hAnsi="宋体" w:cs="宋体"/>
                <w:bCs/>
                <w:color w:val="000000"/>
                <w:sz w:val="18"/>
                <w:szCs w:val="18"/>
              </w:rPr>
            </w:pPr>
            <w:r>
              <w:rPr>
                <w:rFonts w:hint="eastAsia" w:ascii="宋体" w:hAnsi="宋体" w:cs="宋体"/>
                <w:color w:val="000000"/>
                <w:sz w:val="18"/>
                <w:szCs w:val="18"/>
              </w:rPr>
              <w:t xml:space="preserve">(6)柜体管理中心:支持查看全院的智能药品耗材柜体的名称、存放的药品种数、小于基准的药品种数、效期临近的药品种数等信息。</w:t>
            </w:r>
            <w:bookmarkEnd w:id="203"/>
            <w:r>
              <w:rPr>
                <w:rFonts w:ascii="宋体" w:hAnsi="宋体" w:cs="宋体"/>
                <w:bCs/>
                <w:color w:val="000000"/>
                <w:sz w:val="18"/>
                <w:szCs w:val="18"/>
              </w:rPr>
            </w:r>
            <w:r/>
          </w:p>
        </w:tc>
      </w:tr>
    </w:tbl>
    <w:p>
      <w:pPr>
        <w:pStyle w:val="1014"/>
        <w:ind w:firstLine="480"/>
        <w:rPr>
          <w:rFonts w:eastAsia="宋体" w:cs="宋体"/>
          <w:color w:val="000000"/>
          <w:szCs w:val="24"/>
        </w:rPr>
      </w:pPr>
      <w:r>
        <w:rPr>
          <w:rFonts w:eastAsia="宋体" w:cs="宋体"/>
          <w:color w:val="000000"/>
          <w:szCs w:val="24"/>
        </w:rPr>
      </w:r>
      <w:r/>
    </w:p>
    <w:p>
      <w:pPr>
        <w:pStyle w:val="915"/>
        <w:rPr>
          <w:color w:val="000000"/>
        </w:rPr>
      </w:pPr>
      <w:r>
        <w:rPr>
          <w:color w:val="000000"/>
        </w:rPr>
      </w:r>
      <w:r/>
    </w:p>
    <w:p>
      <w:pPr>
        <w:pStyle w:val="1014"/>
        <w:ind w:firstLine="0"/>
        <w:rPr>
          <w:rFonts w:eastAsia="宋体" w:cs="宋体"/>
          <w:color w:val="000000"/>
          <w:szCs w:val="24"/>
        </w:rPr>
        <w:outlineLvl w:val="2"/>
      </w:pPr>
      <w:r>
        <w:rPr>
          <w:rFonts w:hint="eastAsia" w:cs="宋体"/>
          <w:color w:val="000000"/>
          <w:szCs w:val="24"/>
        </w:rPr>
        <w:t xml:space="preserve"> </w:t>
      </w:r>
      <w:r>
        <w:rPr>
          <w:rFonts w:hint="eastAsia" w:eastAsia="宋体" w:cs="宋体"/>
          <w:color w:val="000000"/>
          <w:szCs w:val="24"/>
        </w:rPr>
        <w:t xml:space="preserve">（二）硬件详细技术指标及要求</w:t>
      </w:r>
      <w:r>
        <w:rPr>
          <w:rFonts w:eastAsia="宋体" w:cs="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79"/>
        <w:gridCol w:w="1065"/>
        <w:gridCol w:w="992"/>
        <w:gridCol w:w="5783"/>
      </w:tblGrid>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t xml:space="preserve">1</w:t>
            </w:r>
            <w:r>
              <w:rPr>
                <w:rFonts w:ascii="宋体" w:hAnsi="宋体" w:cs="宋体"/>
                <w:color w:val="000000"/>
                <w:sz w:val="18"/>
                <w:szCs w:val="18"/>
              </w:rPr>
            </w:r>
            <w:r/>
          </w:p>
        </w:tc>
        <w:tc>
          <w:tcPr>
            <w:shd w:val="clear" w:color="auto" w:fill="ffffff"/>
            <w:tcW w:w="1065" w:type="dxa"/>
            <w:vAlign w:val="center"/>
            <w:vMerge w:val="restart"/>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病房呼叫系统</w:t>
            </w: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医护终端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bCs/>
                <w:color w:val="000000"/>
                <w:sz w:val="18"/>
                <w:szCs w:val="18"/>
              </w:rPr>
              <w:t xml:space="preserve">1.▲CPU不低于6核，CPU主频不低于1.8GHz；运行内存不低于4G；机身存储不低于32G；尺寸不低于23.5英寸IPS显示屏，显示视角：85/85/85/85deg；防指纹，支持10点触控；显示屏分辨率不低于192</w:t>
            </w:r>
            <w:r>
              <w:rPr>
                <w:rFonts w:hint="eastAsia" w:ascii="宋体" w:hAnsi="宋体" w:cs="宋体"/>
                <w:bCs/>
                <w:color w:val="000000"/>
                <w:sz w:val="18"/>
                <w:szCs w:val="18"/>
              </w:rPr>
              <w:t xml:space="preserve">0×1080；摄像头：≥1300W；麦克风：全指向性4MIC,支持降噪防啸叫高清通话；喇叭不低于2*3W，立体声输出；WiFi：2.4G/5G 802.11 b/g/n/ac/ax；WIFI6；蓝牙:5.0双模蓝牙；以太网：支持10/100/1000Mbps自适应；物理按键：息屏键*1，便于使用人员快速开关屏幕；具备HDMI 2.0*1、Type-C USB*1、3.5mm耳机插孔*1等接口；支持卫生间分机接口；支持门灯接口。（需提供国家认可的在效期内的三方检测报告和产品白皮书并提供投标人加盖公章的承诺函）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2.硬件看门狗：支持，可实现设备异常时自动重启功能；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3.光传感器：支持；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4.红外距离检测：支持；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5.3D重力加速度检测：支持;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6.支持IC刷卡识别;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7.支持电源适配器供电、POE+供电、电源箱集中供电三种方式；</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8．◆考虑医院场景下院感要求，需演示主机采用全触控屏，正面无任何物理按键；通话手柄采用电磁感应设计，无外漏麦克风，无传统话机机械装置；考虑到隐私保护，视频对讲时，医护主机摄像头有指示灯提醒。</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9.◆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10.◆护士站主机视频通话时可控制是否对方看到本机画面隐私通话，隐私通话开启后床头分机无法看到护士站主机画面；同时也支持在通话过程中关闭隐私通话。</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11.◆支持床头分机、卫生间分机与护士站主机通话时，通话优先级打断(根据预先设置的优先级),高等级通话可以打断低等级通话。</w:t>
            </w:r>
            <w:r>
              <w:rPr>
                <w:rFonts w:ascii="宋体" w:hAnsi="宋体" w:cs="宋体"/>
                <w:color w:val="000000"/>
                <w:sz w:val="18"/>
                <w:szCs w:val="18"/>
              </w:rPr>
            </w:r>
            <w:r/>
          </w:p>
          <w:p>
            <w:pPr>
              <w:pStyle w:val="915"/>
              <w:spacing w:line="360" w:lineRule="auto"/>
              <w:rPr>
                <w:rFonts w:ascii="宋体" w:hAnsi="宋体" w:cs="宋体"/>
                <w:color w:val="000000"/>
                <w:sz w:val="20"/>
                <w:szCs w:val="20"/>
                <w:highlight w:val="yellow"/>
                <w:lang w:bidi="ar"/>
              </w:rPr>
            </w:pPr>
            <w:r>
              <w:rPr>
                <w:rFonts w:hint="eastAsia" w:ascii="宋体" w:hAnsi="宋体" w:cs="宋体"/>
                <w:color w:val="000000"/>
                <w:sz w:val="18"/>
                <w:szCs w:val="18"/>
              </w:rPr>
              <w:t xml:space="preserve">12.◆护士站主机与床旁分机通话时，护士站主机可实时将患者通话语音内容通过文字方式进行展示。</w:t>
            </w:r>
            <w:r>
              <w:rPr>
                <w:rFonts w:ascii="宋体" w:hAnsi="宋体" w:cs="宋体"/>
                <w:color w:val="000000"/>
                <w:sz w:val="20"/>
                <w:szCs w:val="20"/>
                <w:highlight w:val="yellow"/>
                <w:lang w:bidi="ar"/>
              </w:rPr>
            </w:r>
            <w:r/>
          </w:p>
        </w:tc>
      </w:tr>
      <w:tr>
        <w:trPr>
          <w:trHeight w:val="90"/>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医用床头终端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bCs/>
                <w:color w:val="000000"/>
                <w:sz w:val="18"/>
                <w:szCs w:val="18"/>
              </w:rPr>
              <w:t xml:space="preserve">1.▲尺寸不低于10.0英寸IPS显示终端，显示分辨率不低于1280*800；视角：80/80/80/80deg；防指纹，支持多点触控；具备前置摄像头，像素不低于800万；扬声器：双声道,采用下出音方式；以防止灰尘、异物</w:t>
            </w:r>
            <w:r>
              <w:rPr>
                <w:rFonts w:hint="eastAsia" w:ascii="宋体" w:hAnsi="宋体" w:cs="宋体"/>
                <w:bCs/>
                <w:color w:val="000000"/>
                <w:sz w:val="18"/>
                <w:szCs w:val="18"/>
              </w:rPr>
              <w:t xml:space="preserve">等进入扬声器，便于设备的消毒清洁。处理器不低于4核，主频不低于1.8GHz；运行内存不低于2G，机身存储不低于32G；支持WiFi：2.4G/5G双频；支持不低于蓝牙4.2；以太网：支持10/100Mbps适应和两线制组网（一条两芯线完成数据传输和供电）；支持：光感模块、IC卡读卡模块；支持息屏物理按键；接口：USB2.0、RJ45转接口、呼叫开关接口≥2个、扬声器转接口；支持卫生间接口、门灯接口，可支持≥4个卫生间分机接入；（需提供国家认可的在效期内的三方检测报告和产品白皮书并提供投标人加盖公章的承诺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2.支持电源适配器供电、POE供电、电源箱集中供电三种方式。 </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分机采用全触屏设计，正面无任何物理按键，以符合院感要求；多功能呼叫手柄具备物理呼叫按键、物理换药按键、物理取消按键、具备LED灯、物理熄屏按键，出音方式为下方出音，以防灰尘异物等进入喇叭，也便于设备的消毒清洁。</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4.◆在床头分机前，屏幕可通过红外感应亮起，以供护士查看内容；红外模组可识别患者离开后，自动息屏。</w:t>
            </w:r>
            <w:r>
              <w:rPr>
                <w:rFonts w:ascii="宋体" w:hAnsi="宋体" w:cs="宋体"/>
                <w:color w:val="000000"/>
                <w:sz w:val="18"/>
                <w:szCs w:val="18"/>
              </w:rPr>
            </w:r>
            <w:r/>
          </w:p>
          <w:p>
            <w:pPr>
              <w:pStyle w:val="915"/>
              <w:spacing w:line="360" w:lineRule="auto"/>
              <w:rPr>
                <w:rFonts w:ascii="宋体" w:hAnsi="宋体" w:cs="宋体"/>
                <w:bCs/>
                <w:color w:val="000000"/>
                <w:sz w:val="20"/>
                <w:szCs w:val="20"/>
                <w:highlight w:val="yellow"/>
                <w:lang w:bidi="ar"/>
              </w:rPr>
            </w:pPr>
            <w:r>
              <w:rPr>
                <w:rFonts w:hint="eastAsia" w:ascii="宋体" w:hAnsi="宋体" w:cs="宋体"/>
                <w:color w:val="000000"/>
                <w:sz w:val="18"/>
                <w:szCs w:val="18"/>
              </w:rPr>
              <w:t xml:space="preserve">5.◆床头分机与护士站主机在进行语音/视频通话时，两端都能主动进行语音和视频之间转换，且不中断当前通话。</w:t>
            </w:r>
            <w:r>
              <w:rPr>
                <w:rFonts w:ascii="宋体" w:hAnsi="宋体" w:cs="宋体"/>
                <w:bCs/>
                <w:color w:val="000000"/>
                <w:sz w:val="20"/>
                <w:szCs w:val="20"/>
                <w:highlight w:val="yellow"/>
                <w:lang w:bidi="ar"/>
              </w:rPr>
            </w:r>
            <w:r/>
          </w:p>
        </w:tc>
      </w:tr>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医用床旁交互终端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bCs/>
                <w:color w:val="000000"/>
                <w:sz w:val="18"/>
                <w:szCs w:val="18"/>
              </w:rPr>
            </w:pPr>
            <w:r>
              <w:rPr>
                <w:rFonts w:hint="eastAsia" w:ascii="宋体" w:hAnsi="宋体" w:cs="宋体"/>
                <w:bCs/>
                <w:color w:val="000000"/>
                <w:sz w:val="18"/>
                <w:szCs w:val="18"/>
              </w:rPr>
              <w:t xml:space="preserve">1.▲显示尺寸不低于15.6英寸，类型：IP</w:t>
            </w:r>
            <w:r>
              <w:rPr>
                <w:rFonts w:hint="eastAsia" w:ascii="宋体" w:hAnsi="宋体" w:cs="宋体"/>
                <w:bCs/>
                <w:color w:val="000000"/>
                <w:sz w:val="18"/>
                <w:szCs w:val="18"/>
              </w:rPr>
              <w:t xml:space="preserve">S；显示分辨率不低于1920×1080；支持10点触控,支持带手套操作；具备前置摄像头，像素不低于1300万；处理器不低于6核，处理器主频不低于1.8GHz；运行内存不低于4G LPDDR4，机身存储不低于32G EMMC；WIFI:支持2.4G/5G 802.11 b/g/n/ac，支持WIFI6；支持不低于蓝牙:5.0；支持10/100/1000Mbps自适应和两线制组网（一条两芯线完成数据传输和供电）；支持IC读卡模块。（需提供国家认可的在效期内的三方检测报告和产品白皮书并提供投标人加盖公章的承诺函）</w:t>
            </w:r>
            <w:r>
              <w:rPr>
                <w:rFonts w:ascii="宋体" w:hAnsi="宋体" w:cs="宋体"/>
                <w:bCs/>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2.支持2*1.5W双声道配置；</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3.呼叫开关：内置 MIC，多键多功能呼叫开关，含呼叫、换药呼叫、呼叫取消、手电筒、亮息屏等功能；</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4.支持：卫生间分机接口、话筒接口、看门狗；</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5.具备：USB2.0（Type-C）、RJ45、HDMI 2.0、3.5mm耳机孔等接口。</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6.支持电源适配器供电、POE供电、电源箱集中供电三种方式。</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7.◆为符合医院院感需求，分机正面应为纯平面设计，方便消毒清洁；接通护士站可视对讲主机呼叫时，两侧有护理指示灯进行提示，两侧指示灯长度均≥80mm，便于进行声光提示。</w:t>
            </w:r>
            <w:r>
              <w:rPr>
                <w:rFonts w:ascii="宋体" w:hAnsi="宋体" w:cs="宋体"/>
                <w:color w:val="000000"/>
                <w:sz w:val="18"/>
                <w:szCs w:val="18"/>
              </w:rPr>
            </w:r>
            <w:r/>
          </w:p>
        </w:tc>
      </w:tr>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悬臂支架</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1.支架展开最大长度不低于1200mm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2.升降范围不低于500mm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3.升降角度不少于70°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4.悬停重量：0-2.5kg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5.悬臂支架可升降，万向旋转，可在任意位置、任意角度悬停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6.设备线束通过悬臂支架内部与设备连接，无外露线束</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7.▲提供悬臂支架不少于20万次耐久测试报告和抗菌效果检测报告和产品白皮书并提供投标人加盖公章的承诺函。</w:t>
            </w:r>
            <w:r>
              <w:rPr>
                <w:rFonts w:ascii="宋体" w:hAnsi="宋体" w:cs="宋体"/>
                <w:color w:val="000000"/>
                <w:sz w:val="18"/>
                <w:szCs w:val="18"/>
              </w:rPr>
            </w:r>
            <w:r/>
          </w:p>
        </w:tc>
      </w:tr>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医用门口终端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bCs/>
                <w:color w:val="000000"/>
                <w:sz w:val="18"/>
                <w:szCs w:val="18"/>
              </w:rPr>
            </w:pPr>
            <w:r>
              <w:rPr>
                <w:rFonts w:hint="eastAsia" w:ascii="宋体" w:hAnsi="宋体" w:cs="宋体"/>
                <w:bCs/>
                <w:color w:val="000000"/>
                <w:sz w:val="18"/>
                <w:szCs w:val="18"/>
              </w:rPr>
              <w:t xml:space="preserve">1.▲尺寸不低于15.6英寸IPS显示，电容触摸，支持多点触控，支持不少于10点；显示屏分辨率不低于1920×1080；亮度：250cd/m²；视角：</w:t>
            </w:r>
            <w:r>
              <w:rPr>
                <w:rFonts w:hint="eastAsia" w:ascii="宋体" w:hAnsi="宋体" w:cs="宋体"/>
                <w:bCs/>
                <w:color w:val="000000"/>
                <w:sz w:val="18"/>
                <w:szCs w:val="18"/>
              </w:rPr>
              <w:t xml:space="preserve">不低于85/85/85/85deg；处理器不低于4核，主频不低于1.8GHz；运行内存不低于2G，机身存储不低于32G;支持NFC，以太网：支持10/100/1000Mbps自适应和两线制组网（一条两芯线完成数据传输和供电）；自带摄像头，像素不低于800W；支持WiFi5，蓝牙5.0；支持光感模块；支持电源适配器供电、POE供电、电源箱集中供电三种方式;接口：Micro USB2.0、RJ45转接口、卫生间分机接口、开关接口。（需提供国家认可的在效期内的三方检测报告和产品白皮书并提供投标人加盖公章的承诺函）</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2．◆具有护士定位按键：护士可通过门口机进行护士定位，当该房间无床位呼叫时走廊屏显示护士所在房间，多房间有护士进入时，走廊屏可显示多个护士所在房间；分机内置一体化门灯，门灯位于分机两侧，每侧门灯长度≥80mm，支持颜色≥7色，同时进行声音提示。 </w:t>
            </w:r>
            <w:r>
              <w:rPr>
                <w:rFonts w:ascii="宋体" w:hAnsi="宋体" w:cs="宋体"/>
                <w:bCs/>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3．扬声器：支持双声道；</w:t>
            </w:r>
            <w:r>
              <w:rPr>
                <w:rFonts w:ascii="宋体" w:hAnsi="宋体" w:cs="宋体"/>
                <w:color w:val="000000"/>
                <w:sz w:val="18"/>
                <w:szCs w:val="18"/>
              </w:rPr>
            </w:r>
            <w:r/>
          </w:p>
        </w:tc>
      </w:tr>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6</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病区人脸识别终端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显示尺寸不低于8英寸，电容触摸面板：3mm钢化玻璃；支持10点触控；显示分辨率不低于1280*800；摄像头数量：2，摄像头像素：200W+200W；补光灯：不少于3色；静电性能：接触放电±8kv，空气放电±20kv；处理器：不低于6核至高1.8GHz ；运行内存：不低于4G，机身存储：不低于32G；支持读卡模块；WIFI:2.4G/5G 802.11 a/b/g/n/ac；蓝牙：不低于4.2双模蓝牙；以太网：支持10/100/1000mbps自适应。</w:t>
            </w:r>
            <w:r>
              <w:rPr>
                <w:rFonts w:hint="eastAsia" w:ascii="宋体" w:hAnsi="宋体" w:cs="宋体"/>
                <w:bCs/>
                <w:color w:val="000000"/>
                <w:sz w:val="18"/>
                <w:szCs w:val="18"/>
              </w:rPr>
              <w:t xml:space="preserve">（需提供产品白皮书并提供投标人加盖公章的承诺函）</w:t>
            </w:r>
            <w:r>
              <w:rPr>
                <w:rFonts w:ascii="宋体" w:hAnsi="宋体" w:cs="宋体"/>
                <w:color w:val="000000"/>
                <w:sz w:val="18"/>
                <w:szCs w:val="18"/>
              </w:rPr>
            </w:r>
            <w:r/>
          </w:p>
        </w:tc>
      </w:tr>
      <w:tr>
        <w:trPr>
          <w:trHeight w:val="363"/>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7</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卫生间终端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1.IP68防护等级；呼叫按键占比大于25%；具有专用取消按键，便于及时清除误操作，也支持在医护主机上取消报警；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2.组网方式：两线制组网；防冲突撞码：保证由主机下发的每一个分机码都能被对应的卫生间分机收到，形成贯通的通讯机制。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3.支持：呼叫拉绳、蜂鸣器、灯光指示、呼叫取消按键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4.呼叫时有明显的声光报警提示，系统在病区中有广播提示，便于医护人员快速响应。</w:t>
            </w:r>
            <w:r>
              <w:rPr>
                <w:rFonts w:ascii="宋体" w:hAnsi="宋体" w:cs="宋体"/>
                <w:color w:val="000000"/>
                <w:sz w:val="18"/>
                <w:szCs w:val="18"/>
              </w:rPr>
            </w:r>
            <w:r/>
          </w:p>
        </w:tc>
      </w:tr>
      <w:tr>
        <w:trPr>
          <w:trHeight w:val="1920"/>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8</w:t>
            </w:r>
            <w:r>
              <w:rPr>
                <w:rFonts w:ascii="宋体" w:hAnsi="宋体" w:cs="宋体"/>
                <w:color w:val="000000"/>
                <w:sz w:val="18"/>
                <w:szCs w:val="18"/>
              </w:rPr>
            </w:r>
            <w:r/>
          </w:p>
        </w:tc>
        <w:tc>
          <w:tcPr>
            <w:shd w:val="clear" w:color="auto" w:fill="ffffff"/>
            <w:tcW w:w="1065" w:type="dxa"/>
            <w:vAlign w:val="center"/>
            <w:vMerge w:val="continue"/>
            <w:textDirection w:val="lrTb"/>
            <w:noWrap/>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值班室分机</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硬件参数</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1．▲显示屏尺寸不低于10英寸电容屏，支持多点触控；显示屏分辨率不低于1280×800；前置摄像头像素不低于800万； CPU不低于4核，主频不低于1.8GHz；运行内存不低于2G，机身存储不低于32G；具备读卡模块，支持IC卡； </w:t>
            </w:r>
            <w:r>
              <w:rPr>
                <w:rFonts w:hint="eastAsia" w:ascii="宋体" w:hAnsi="宋体" w:cs="宋体"/>
                <w:bCs/>
                <w:color w:val="000000"/>
                <w:sz w:val="18"/>
                <w:szCs w:val="18"/>
              </w:rPr>
              <w:br w:type="textWrapping" w:clear="all"/>
            </w:r>
            <w:r>
              <w:rPr>
                <w:rFonts w:hint="eastAsia" w:ascii="宋体" w:hAnsi="宋体" w:cs="宋体"/>
                <w:bCs/>
                <w:color w:val="000000"/>
                <w:sz w:val="18"/>
                <w:szCs w:val="18"/>
              </w:rPr>
              <w:t xml:space="preserve">WIFI:2.4G/5G 802.11 a/b/g/n/ac；蓝牙：4.2；以太网：10/100/1000Mbps支持：卫生间分机接口、光感模块、红外测距（需提供国家认可的在效期内的三方检测报告和产品白皮书并提供投标人加盖公章的承诺函）。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2．支持电源适配器供电、POE供电、电源箱集中供电三种方式。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软件功能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1.呼叫患者：显示所在护理单元的床位一览表，点击具体床位后，对该床患者发起呼叫。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2.呼叫主机：对本护理单元主机发起呼叫请求。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3.呼叫其他办公室：显示所在护理单元的医生办公室分机一览表，点击具体办公室后，对其发起呼叫请求。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4.呼叫处理：处理本护理单元医护主机、其他值班室分机、床旁分机、床头分机发来的呼叫请求，处理本护理单元床旁分机、床头分机发来的增援呼叫请求。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5.静音/恢复：点击静音按钮后，对接收的呼叫请求将不再进行播报，仅在页面进行提醒，再次点击后，恢复呼叫播报。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6.屏保:分机一段时间不操作后自动显示，显示内容为当前时间。</w:t>
            </w:r>
            <w:r>
              <w:rPr>
                <w:rFonts w:ascii="宋体" w:hAnsi="宋体" w:cs="宋体"/>
                <w:color w:val="000000"/>
                <w:sz w:val="18"/>
                <w:szCs w:val="18"/>
              </w:rPr>
            </w:r>
            <w:r/>
          </w:p>
        </w:tc>
      </w:tr>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9</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移动通讯终端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硬件参数</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1.▲显示屏尺寸不低于2.4英寸电容屏，支持10点触控；显示屏分辨率不低于320×240；亮度：250cd/m²；CPU不低于4核，主频不低于1.5GHz；运行内存不低于1G；机身存储不低于8G；三防等级不小于IP54；具备硬件扫描头、NFC模块与前置200W摄像头，支持wifi、支持蓝牙；定位：支持GPS(L1+L5双频)/AGPS/Glonass/北斗，支持一键关屏；接口：USB2.0(type-C)。（需提供国家认可的在效期内的三方检测报告和产品白皮书并提供投标人加盖公章的承诺函）</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软件参数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1.通讯录：显示登录用户的通讯录列表，包括患者、护士站、护士、医生、值班室等分组。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2.呼叫对讲：支持医声助手之间以及与床旁分机、护士站主机、值班室分机等分机间的对讲。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3.通话记录：显示登录用户最近的通话记录，用户可查看历史的呼叫信息。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4.网络自动切换：可根据所连接网络的信号强弱，自动 切换至其他较强信号的网络。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5.状态提醒：分机端支持对充电状态、联网状态、 未处理呼叫信息的展示提醒。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6.硬件扫描头：通过扫描头扫描患者腕带与药液袋 的二维码或条形码后比对信息执行医嘱。</w:t>
            </w:r>
            <w:r>
              <w:rPr>
                <w:rFonts w:ascii="宋体" w:hAnsi="宋体" w:cs="宋体"/>
                <w:color w:val="000000"/>
                <w:sz w:val="18"/>
                <w:szCs w:val="18"/>
              </w:rPr>
            </w:r>
            <w:r/>
          </w:p>
        </w:tc>
      </w:tr>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10</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走廊发布终端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1．双面显示，显示尺寸不低于28.6英寸；显示分辨率不低于1920×560；具备扬声器；处理器:不低于6核；处理器主频不低于1.8GHz；运行内存不低于4G，机身存储不低于32G。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2.支持信息发布：当系统无呼叫时，展示本护理单元的信息发布类文章，支持定时播放与轮播；</w:t>
            </w:r>
            <w:r>
              <w:rPr>
                <w:rFonts w:ascii="宋体" w:hAnsi="宋体" w:cs="宋体"/>
                <w:color w:val="000000"/>
                <w:sz w:val="18"/>
                <w:szCs w:val="18"/>
              </w:rPr>
            </w:r>
            <w:r/>
          </w:p>
        </w:tc>
      </w:tr>
      <w:tr>
        <w:trPr>
          <w:trHeight w:val="195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两线接收模块</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1.设备尺寸小于等于77mm*47.8mm*22.7mm，支持86盒内安装、医用气体设备带安装、终端背板安装等多种安装方式；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2.输入接口：具备不少于1路输入接口；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3.输出供电接口：可输出最高0.7A负载电流，输出电压为36VDC；</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4.输出网络接口：输出座子为10芯，其中八芯为网络接口，两芯为电源接口；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5.指示灯：具备不少于1个工作状态指示灯；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6.调制解调网络信号：自适应百兆/十兆网络信号，将多载波信道的载波信号转换为标准的网络信号;</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7.数据传输：可为终端提供数据的输入与输出能力。</w:t>
            </w:r>
            <w:r>
              <w:rPr>
                <w:rFonts w:ascii="宋体" w:hAnsi="宋体" w:cs="宋体"/>
                <w:color w:val="000000"/>
                <w:sz w:val="18"/>
                <w:szCs w:val="18"/>
              </w:rPr>
            </w:r>
            <w:r/>
          </w:p>
        </w:tc>
      </w:tr>
      <w:tr>
        <w:trPr>
          <w:trHeight w:val="416"/>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IP两线主控终端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1.支持400mm*300mm*68mm标准机房机柜固定安装；</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2.▲指示灯：支持网口ACK/LINK指示灯、异常指示灯、电源供电指示灯；输入接口：220V/AC+4组RJ45网络接口+1路独立网络通讯接口；输出接口：支持不低于4路输出接口，且每路输出接口支持不低于8个终端的供电和TCP/IP网络通讯需求；（需提供国家认可的在效期内的三方检测报告和产品白皮书并提供投标人加盖公章的承诺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3.支持供电功率≥700W；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4.为保障设备正常散热，设备应具备不少于2个散热开孔及良好的独立散热通道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5.系统配置不低于处理器搭配8M+64M内存存储组合，主频不低于1G/bps；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6.具备适应LC隔离电路、信号隔离，避免信号被电源吸收可有效向远端传输；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7.具备内置的过压保护，过流保护、过热保护、短路保护等硬件电路让电源工作更稳定安全可靠；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8.具备调制解调网络信号功能，可自适应千兆、百兆网络信号，将标准的网络信号转换为多载波信道的载波信号；支持为不低于32台终端提供不低于50Mbps带宽；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9.组网方式：支持网络加两线制的组网方式；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10.主动巡检：可通过该终端进行设备主动巡检，显示所连接的房间内床位号与患者信息；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11.运行状态展示：支持全院任意设备运行状态展示及信号质量监控功能，可展示运行状态:在线/离线、MAC地址、信号质量、丢包信息；</w:t>
            </w:r>
            <w:r>
              <w:rPr>
                <w:rFonts w:ascii="宋体" w:hAnsi="宋体" w:cs="宋体"/>
                <w:color w:val="000000"/>
                <w:sz w:val="18"/>
                <w:szCs w:val="18"/>
              </w:rPr>
            </w:r>
            <w:r/>
          </w:p>
        </w:tc>
      </w:tr>
      <w:tr>
        <w:trPr>
          <w:trHeight w:val="2520"/>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shd w:val="clear" w:color="auto" w:fill="ffffff"/>
            <w:tcW w:w="1065"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智慧护理大屏系统</w:t>
            </w: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病区智能交互终端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1.终端显示尺寸不低于65英寸；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2.分辨率≥3840×2160，可视角度≥178°；</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3.色域检测≥85%NTSC，灰度等级检测≥256级，亮度可自动调节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4.内置双腔六驱大音响，功率≥15W×2，内置≥8颗麦克风阵列，≥12米拾音距离，支持自动增益，智能滤噪，声源定位功能；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5.前置多功能物理按键，支持一键回到主页、一键亮熄屏、一键整机开关机；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6.内置摄像头分辨率≥4K，≥4倍数字变焦；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7.整机摄像头支持智能取景，自动调节构图，支持发言人定位追踪，有效捕捉发言人画面，有效保证发言人画面位于C位；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8.处理器≥4核，系统内存≥4GB，存储容量≥32GB；</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9.支持20点触控，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10.支持超级任务栏，功能包括：结束会议，打开应用，任务视图，主页，设置，网络状态，时间/日历，触控精灵菜单入口；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11.支持Wi-Fi 2.4G/5G功能；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12.整机可以作为云桌面瘦终端与云桌面服务器进行接入使用；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13.在任意信号源通道下、屏幕的任意位置均可通过手势在屏幕上调取该触摸中控菜单，将设备常用的信号源切换、全通道批注/主页/返回/设置/电脑/截图等功能整合到同一中控菜单下。</w:t>
            </w:r>
            <w:r>
              <w:rPr>
                <w:rFonts w:ascii="宋体" w:hAnsi="宋体" w:cs="宋体"/>
                <w:color w:val="000000"/>
                <w:sz w:val="18"/>
                <w:szCs w:val="18"/>
              </w:rPr>
            </w:r>
            <w:r/>
          </w:p>
        </w:tc>
      </w:tr>
      <w:tr>
        <w:trPr>
          <w:trHeight w:val="1890"/>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shd w:val="clear" w:color="auto" w:fill="ffffff"/>
            <w:tcW w:w="1065" w:type="dxa"/>
            <w:vAlign w:val="center"/>
            <w:vMerge w:val="restart"/>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人员定位系统</w:t>
            </w: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定位胸卡</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bCs/>
                <w:color w:val="000000"/>
                <w:sz w:val="18"/>
                <w:szCs w:val="18"/>
              </w:rPr>
              <w:t xml:space="preserve">1.▲支持NFC，支持ISO 14443A协议，感应距离2CM；六轴传感器，灵敏度不低于：加速度0.061mg/LSB；角速度4.375mdps/LSB；测量范围不低于：加速度±2g；角速度±125dps；蓝牙支持BLE4.2；无线通讯支持LoRa协议，频率需满足470～510MHz，发射功率不低于12dBm；采用电池供电方式，电池容量不低于1000mAh；（需提供产品白皮书并提供投标人加盖公章的承诺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2.应支持采用Type-C接口充电，充电接口防水，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3.应配置至少1个物理按键；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4.应具备高亮报警LED侧灯，支持10米外清晰可见。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5.支持通过实体按键进行关机操作，支持插电开机操作；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6.支持报警时，报警LED侧灯以国际SOS频率闪烁；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7.支持NFC刷卡，特定条件下支持对接门禁、一卡通等系统；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8.支持本地电量显示、低电量提醒、工作状态指示、网络状态指示等；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9.支持主动上报定位数据，并与电子围栏联动；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10.支持一键报警功能。</w:t>
            </w:r>
            <w:r>
              <w:rPr>
                <w:rFonts w:ascii="宋体" w:hAnsi="宋体" w:cs="宋体"/>
                <w:color w:val="000000"/>
                <w:sz w:val="18"/>
                <w:szCs w:val="18"/>
              </w:rPr>
            </w:r>
            <w:r/>
          </w:p>
        </w:tc>
      </w:tr>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定位信标</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1.具备蓝牙模组，蓝牙版本需满足BLE 5.0；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2.支持标准的iBeacon蓝牙协议；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3.满足PC材料的主体材质；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4.需支持螺丝、胶粘等安装方式；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5.需满足产品净重≤39g（含电池）；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6.工作温度：-30~60℃；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7.覆盖范围：室内半径≥10M；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8.续航时间：≥3年(Typ.);</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9.安全性：需支持修改密码参数、重启及设置为不可连接模式；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10.连接性：具备防恶意连接功能；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11.配置性：具备包含UUID、Major、Minor等参数的配置能力；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12.升级性：具备支持固件升级的能力；</w:t>
            </w:r>
            <w:r>
              <w:rPr>
                <w:rFonts w:ascii="宋体" w:hAnsi="宋体" w:cs="宋体"/>
                <w:color w:val="000000"/>
                <w:sz w:val="18"/>
                <w:szCs w:val="18"/>
              </w:rPr>
            </w:r>
            <w:r/>
          </w:p>
        </w:tc>
      </w:tr>
      <w:tr>
        <w:trPr>
          <w:trHeight w:val="1599"/>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智能物联网络终端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1.支持loRa协议解析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2.支持状态自检，异常状态自恢复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3.支持LoRa网络，以太网通讯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4.支持异频全双工，CN470-510通讯频段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5.支持使用专用配置工具进行网关配置、网关升级。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6.接收使用8路上行信道，发射使用1路下行通道。</w:t>
            </w:r>
            <w:r>
              <w:rPr>
                <w:rFonts w:ascii="宋体" w:hAnsi="宋体" w:cs="宋体"/>
                <w:color w:val="000000"/>
                <w:sz w:val="18"/>
                <w:szCs w:val="18"/>
              </w:rPr>
            </w:r>
            <w:r/>
          </w:p>
        </w:tc>
      </w:tr>
      <w:tr>
        <w:trPr>
          <w:trHeight w:val="1368"/>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shd w:val="clear" w:color="auto" w:fill="ffffff"/>
            <w:tcW w:w="1065" w:type="dxa"/>
            <w:vAlign w:val="center"/>
            <w:vMerge w:val="restart"/>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病房患者服务</w:t>
            </w: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网络多媒体控制器</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1.处理器：RK3288  4核  1.8GHZ；                                                                           </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2.图形处理器：ARM Mali-T764，加速硬件；</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3.运行内存：1G及以上；</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4.机身存储：8G及以上；</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5.输出接口： HDMI*1，（7)其他接口：USB2.0*1，rj45*1，电源接口*1；</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6.网络接口：RJ45；</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7.模块配置：红外接收模块；</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8.输出接口：HDMI*1；</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9.功能要求：与液晶电视组合使用，设备配备红外遥控器，可实现分辨率调整、IP及DNS配置、服务器连接配置等功能。</w:t>
            </w:r>
            <w:r>
              <w:rPr>
                <w:rFonts w:ascii="宋体" w:hAnsi="宋体" w:cs="宋体"/>
                <w:color w:val="000000"/>
                <w:sz w:val="18"/>
                <w:szCs w:val="18"/>
              </w:rPr>
            </w:r>
            <w:r/>
          </w:p>
        </w:tc>
      </w:tr>
      <w:tr>
        <w:trPr>
          <w:trHeight w:val="996"/>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8路编码器</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1.接入8路HDMI信号源；</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2.支持1080P输出；</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3.MP3、AAC、AC3音频编码格式可选 ；</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4.H.264编码（有H.265可选）。</w:t>
            </w:r>
            <w:r>
              <w:rPr>
                <w:rFonts w:ascii="宋体" w:hAnsi="宋体" w:cs="宋体"/>
                <w:color w:val="000000"/>
                <w:sz w:val="18"/>
                <w:szCs w:val="18"/>
              </w:rPr>
            </w:r>
            <w:r/>
          </w:p>
        </w:tc>
      </w:tr>
      <w:tr>
        <w:trPr>
          <w:trHeight w:val="936"/>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病房患者服务部分布线实施安装服务</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24口交换机</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1.24个10/100/1000Base-T以太网端口；</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2.无阻塞高速转发，包转发率≥30Mpps；</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3.支持DHCP相关功能。</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综合布线，安装，调试，培训</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完成本项目范围内的综合布线，设备安装，系统调试，系统培训等任务。</w:t>
            </w:r>
            <w:r>
              <w:rPr>
                <w:rFonts w:ascii="宋体" w:hAnsi="宋体" w:cs="宋体"/>
                <w:color w:val="000000"/>
                <w:sz w:val="18"/>
                <w:szCs w:val="18"/>
              </w:rPr>
            </w:r>
            <w:r/>
          </w:p>
        </w:tc>
      </w:tr>
      <w:tr>
        <w:trPr>
          <w:trHeight w:val="1725"/>
        </w:trPr>
        <w:tc>
          <w:tcPr>
            <w:shd w:val="clear" w:color="auto" w:fill="ffffff"/>
            <w:tcW w:w="679"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shd w:val="clear" w:color="auto" w:fill="ffffff"/>
            <w:tcW w:w="1065"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IAI辅助评价系统</w:t>
            </w:r>
            <w:r>
              <w:rPr>
                <w:rFonts w:ascii="宋体" w:hAnsi="宋体" w:cs="宋体"/>
                <w:color w:val="000000"/>
                <w:sz w:val="18"/>
                <w:szCs w:val="18"/>
              </w:rPr>
            </w:r>
            <w:r/>
          </w:p>
        </w:tc>
        <w:tc>
          <w:tcPr>
            <w:shd w:val="clear" w:color="auto" w:fill="ffffff"/>
            <w:tcW w:w="992" w:type="dxa"/>
            <w:vAlign w:val="center"/>
            <w:textDirection w:val="lrTb"/>
            <w:noWrap w:val="false"/>
          </w:tcPr>
          <w:p>
            <w:pPr>
              <w:pStyle w:val="915"/>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IAI辅助评价系统</w:t>
            </w:r>
            <w:r>
              <w:rPr>
                <w:rFonts w:ascii="宋体" w:hAnsi="宋体" w:cs="宋体"/>
                <w:color w:val="000000"/>
                <w:sz w:val="18"/>
                <w:szCs w:val="18"/>
              </w:rPr>
            </w:r>
            <w:r/>
          </w:p>
        </w:tc>
        <w:tc>
          <w:tcPr>
            <w:shd w:val="clear" w:color="auto" w:fill="ffffff"/>
            <w:tcW w:w="5783" w:type="dxa"/>
            <w:vAlign w:val="center"/>
            <w:textDirection w:val="lrTb"/>
            <w:noWrap w:val="false"/>
          </w:tcPr>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ICU患者镇静状态的AI辅助评价系统</w:t>
            </w:r>
            <w:r>
              <w:rPr>
                <w:rFonts w:ascii="宋体" w:hAnsi="宋体" w:cs="宋体"/>
                <w:color w:val="000000"/>
                <w:sz w:val="18"/>
                <w:szCs w:val="18"/>
              </w:rPr>
            </w:r>
            <w:r/>
          </w:p>
          <w:p>
            <w:pPr>
              <w:pStyle w:val="915"/>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供应商需提供硬件部分包含：</w:t>
            </w:r>
            <w:r>
              <w:rPr>
                <w:rFonts w:ascii="宋体" w:hAnsi="宋体" w:cs="宋体"/>
                <w:bCs/>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1、管理平台服务器，算法中心服务器，流媒体服务器以上三台均为虚拟服务器（</w:t>
            </w:r>
            <w:r>
              <w:rPr>
                <w:rFonts w:hint="eastAsia" w:ascii="宋体" w:hAnsi="宋体" w:cs="宋体"/>
                <w:color w:val="000000"/>
                <w:sz w:val="18"/>
                <w:szCs w:val="18"/>
                <w:lang w:bidi="ar"/>
              </w:rPr>
              <w:t xml:space="preserve">CPU：8核内存：16G硬盘：250GB 操作系统：阿里龙蜥8.6</w:t>
            </w:r>
            <w:r>
              <w:rPr>
                <w:rFonts w:hint="eastAsia" w:ascii="宋体" w:hAnsi="宋体" w:cs="宋体"/>
                <w:color w:val="000000"/>
                <w:sz w:val="18"/>
                <w:szCs w:val="18"/>
              </w:rPr>
              <w:t xml:space="preserve">）；</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2、30台图像捕捉传感器：分辨率400万像素以上，全彩夜视，焦距2.8mm，内置麦克风，PoE供电</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3、2台千兆POE交换机：16个千兆电口POE，1个千兆电口，1个千兆光口，机架型安装，180W功率</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4、2台边缘分析盒子、AI边缘计算终端：CPU：八核 64 位大小核架构，4*Cortex-A76 + 4*Cortex-A55；GPU：ARM  Mali-G610 MC4,OpenGL ES</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1.1/2.0/3.1/3.2,Vulkan1.1，1.2,OpenCL1.1,1.2,2.0,内嵌高性能2D图像加速模块；NPU：6TOPS算力，三核架构，支持int4/int8/int16/FP16/BF16/TF32；内存：16GB；储存：128GB；网络：WiFi6/蓝牙 V5.0 双千兆网口；核心线程：8 核；操作系统：Debian11；通道：16 路视频 AI 解析；接口：HDMI、2 路 RS232（RS485）、6 路KIO、4 路 USB</w:t>
            </w:r>
            <w:r>
              <w:rPr>
                <w:rFonts w:ascii="宋体" w:hAnsi="宋体" w:cs="宋体"/>
                <w:color w:val="000000"/>
                <w:sz w:val="18"/>
                <w:szCs w:val="18"/>
              </w:rPr>
            </w:r>
            <w:r/>
          </w:p>
          <w:p>
            <w:pPr>
              <w:pStyle w:val="915"/>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供应商需提供满足以下功能需求得系统软件</w:t>
            </w:r>
            <w:r>
              <w:rPr>
                <w:rFonts w:ascii="宋体" w:hAnsi="宋体" w:cs="宋体"/>
                <w:bCs/>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一、管理平台一套</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1、终端设备管理：</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1）AI边缘计算终端管理，包括地理位置、算法、规则等信息的管理；</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2）图像捕捉传感器集中管理，包括地理位置、算法配置、视频流地址配置等；</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3）AI 边缘计算终端、图像捕捉传感器工作状态监测与告警。</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2、历史数据管理：</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1）日志数据，包括设备日志、规则日志的查看、删除等操作；2）图像捕捉传感器历史记录查询、数据统计等。</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3、流程编排管理：基于算法识别的行为特征进行数据组态、业务零代码可视化编排等管理。</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4、数据可视化：ICU病房患者镇静指征24小时曲线图分析。</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5、AI镇静分析日报：基于患者镇静状态的实时监测数据和RASS评分记录，智能生成详细的患者镇静评分日报，供临床参考。</w:t>
            </w:r>
            <w:r>
              <w:rPr>
                <w:rFonts w:ascii="宋体" w:hAnsi="宋体" w:cs="宋体"/>
                <w:color w:val="000000"/>
                <w:sz w:val="18"/>
                <w:szCs w:val="18"/>
              </w:rPr>
            </w:r>
            <w:r/>
          </w:p>
          <w:p>
            <w:pPr>
              <w:pStyle w:val="915"/>
              <w:spacing w:line="360" w:lineRule="auto"/>
              <w:rPr>
                <w:rFonts w:ascii="宋体" w:hAnsi="宋体" w:cs="宋体"/>
                <w:color w:val="000000"/>
                <w:sz w:val="18"/>
                <w:szCs w:val="18"/>
              </w:rPr>
            </w:pPr>
            <w:r>
              <w:rPr>
                <w:rFonts w:hint="eastAsia" w:ascii="宋体" w:hAnsi="宋体" w:cs="宋体"/>
                <w:color w:val="000000"/>
                <w:sz w:val="18"/>
                <w:szCs w:val="18"/>
              </w:rPr>
              <w:t xml:space="preserve">6、智能问答体：为医护人员提供智能化的患者镇静评分咨询服务，同时结合实时监测数据为医护人员提供个性化的评分建议和临床决策支持。</w:t>
            </w:r>
            <w:r>
              <w:rPr>
                <w:rFonts w:ascii="宋体" w:hAnsi="宋体" w:cs="宋体"/>
                <w:color w:val="000000"/>
                <w:sz w:val="18"/>
                <w:szCs w:val="18"/>
              </w:rPr>
            </w:r>
            <w:r/>
          </w:p>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二、</w:t>
            </w:r>
            <w:r>
              <w:rPr>
                <w:rFonts w:hint="eastAsia" w:ascii="宋体" w:hAnsi="宋体" w:cs="宋体"/>
                <w:color w:val="000000"/>
                <w:sz w:val="18"/>
                <w:szCs w:val="18"/>
                <w:lang w:bidi="ar"/>
              </w:rPr>
              <w:t xml:space="preserve">算法服务中心一套</w:t>
            </w:r>
            <w:r>
              <w:rPr>
                <w:rFonts w:ascii="宋体" w:hAnsi="宋体" w:cs="宋体"/>
                <w:color w:val="000000"/>
                <w:sz w:val="18"/>
                <w:szCs w:val="18"/>
              </w:rPr>
            </w:r>
            <w:r/>
          </w:p>
          <w:p>
            <w:pPr>
              <w:pStyle w:val="915"/>
              <w:numPr>
                <w:ilvl w:val="0"/>
                <w:numId w:val="6"/>
              </w:numPr>
              <w:ind w:left="907" w:hanging="907"/>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患者镇静状态的行为识别算法：基于深度学习算法，实时检测患者镇静相关行为微动作。</w:t>
            </w:r>
            <w:r>
              <w:rPr>
                <w:rFonts w:ascii="宋体" w:hAnsi="宋体" w:cs="宋体"/>
                <w:color w:val="000000"/>
                <w:sz w:val="18"/>
                <w:szCs w:val="18"/>
                <w:lang w:bidi="ar"/>
              </w:rPr>
            </w:r>
            <w:r/>
          </w:p>
          <w:p>
            <w:pPr>
              <w:pStyle w:val="915"/>
              <w:numPr>
                <w:ilvl w:val="0"/>
                <w:numId w:val="6"/>
              </w:numPr>
              <w:ind w:left="907" w:hanging="907"/>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智能化RASS镇静评分拟合算法：基于患者镇静相关行为的统计信息，将监测的行为特征自动拟合至RASS镇静评分标准。</w:t>
            </w:r>
            <w:r>
              <w:rPr>
                <w:rFonts w:ascii="宋体" w:hAnsi="宋体" w:cs="宋体"/>
                <w:color w:val="000000"/>
                <w:sz w:val="18"/>
                <w:szCs w:val="18"/>
              </w:rPr>
            </w:r>
            <w:r/>
          </w:p>
          <w:p>
            <w:pPr>
              <w:pStyle w:val="915"/>
              <w:numPr>
                <w:ilvl w:val="0"/>
                <w:numId w:val="7"/>
              </w:num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承诺函</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bCs/>
                <w:color w:val="000000"/>
                <w:sz w:val="18"/>
                <w:szCs w:val="18"/>
                <w:lang w:bidi="ar"/>
              </w:rPr>
              <w:t xml:space="preserve">供应商需响应，根据我院现场的实际需求进行调整，并提供承诺函</w:t>
            </w:r>
            <w:r>
              <w:rPr>
                <w:rFonts w:hint="eastAsia" w:ascii="宋体" w:hAnsi="宋体" w:cs="宋体"/>
                <w:color w:val="000000"/>
                <w:sz w:val="18"/>
                <w:szCs w:val="18"/>
                <w:lang w:bidi="ar"/>
              </w:rPr>
              <w:t xml:space="preserve">。</w:t>
            </w:r>
            <w:r>
              <w:rPr>
                <w:rFonts w:ascii="宋体" w:hAnsi="宋体" w:cs="宋体"/>
                <w:color w:val="000000"/>
                <w:sz w:val="18"/>
                <w:szCs w:val="18"/>
                <w:lang w:bidi="ar"/>
              </w:rPr>
            </w:r>
            <w:r/>
          </w:p>
        </w:tc>
      </w:tr>
      <w:tr>
        <w:trPr>
          <w:trHeight w:val="2250"/>
        </w:trPr>
        <w:tc>
          <w:tcPr>
            <w:shd w:val="clear" w:color="auto" w:fill="ffffff"/>
            <w:tcW w:w="679"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21</w:t>
            </w:r>
            <w:r>
              <w:rPr>
                <w:rFonts w:ascii="宋体" w:hAnsi="宋体" w:cs="宋体"/>
                <w:color w:val="000000"/>
                <w:sz w:val="18"/>
                <w:szCs w:val="18"/>
              </w:rPr>
            </w:r>
            <w:r/>
          </w:p>
        </w:tc>
        <w:tc>
          <w:tcPr>
            <w:shd w:val="clear" w:color="auto" w:fill="ffffff"/>
            <w:tcW w:w="1065" w:type="dxa"/>
            <w:vAlign w:val="center"/>
            <w:textDirection w:val="lrTb"/>
            <w:noWrap w:val="false"/>
          </w:tcPr>
          <w:p>
            <w:pPr>
              <w:pStyle w:val="915"/>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人员定位系统</w:t>
            </w:r>
            <w:r>
              <w:rPr>
                <w:rFonts w:ascii="宋体" w:hAnsi="宋体" w:cs="宋体"/>
                <w:color w:val="000000"/>
                <w:sz w:val="18"/>
                <w:szCs w:val="18"/>
                <w:lang w:bidi="ar"/>
              </w:rPr>
            </w:r>
            <w:r/>
          </w:p>
        </w:tc>
        <w:tc>
          <w:tcPr>
            <w:shd w:val="clear" w:color="auto" w:fill="ffffff"/>
            <w:tcW w:w="992"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医护交互终端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1.显示尺寸：≥1.6寸AMOLED显示面板；分辨率：320*360，色深16.7M，可视角度：≥80°；对比度：100000:1，亮度：500cd/m2 Typ.；触摸：电容触摸，支持两点触控；具备六轴传感器；具备温度传感器；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2.通讯协议：标准LoraWAN通讯协议，要求能够对接标准LoraWan网关；</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3.蓝牙模组，支持不低于蓝牙4.2协议；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4.NFC：支持读卡、卡模拟的全功能NFC，支持ISO/IEC 14443A；</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5.物理按键：可支持按键实现一键呼叫等操作；</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6.需支持表带更换，兼容市面上适配表耳的表带；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7.电池：电池容量≥700mAh；</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8.支持IP68级防尘防水；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9.可通过物理按键，发出增援呼叫或SOS报警的功能，能够在室内定位感知系统、走廊显示屏上展示报警或呼叫信息；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10.能够查看时间，在时间页面具备快捷进入常用功能的快捷入口，包括计时、秒表、未处理呼叫列表；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11.能够接收呼叫信息，在手表端显示、提醒和处理；</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12.能够查看呼叫记录信息；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13.能够测量心率、血氧数据。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14.能够查看推送消息：支持接收室内定位感知系统转发的越界报警、滞留报警、求助报警等信息。展示室内定位感知系统推送的通知类消息记录。呼叫报警：支持与室内定位感知系统联动，自动触发越界报警、滞留报警，支持通过按键主动触发呼叫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15.能够查看未处理呼叫：展示尚未处理的呼叫信息。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16.能够查看呼叫记录：展示与终端关联的呼叫记录列表。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17.能够查看体征监测：支持监测佩戴者的心率数据，支持监测佩戴者的腕部温度数据。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18.能够查看状态监测：支持监测佩戴者行走步数，用于康复运动监测。支持监测佩戴者手腕状态，抬起手腕时自动亮屏。支持监测佩戴者长时间久坐状态，并提示。</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19.时间工具：展示当前日期、时间，支持自定义设置。支持秒表和计时器功能，用于工作中的计时场景。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20.控制中心：支持设置呼叫静音、持续提醒、震动、定位等开关选型，支持亮度调节。</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21.在线升级：支持自动检测固件版本号，当系统推动新版本时可自动或手动进行升级。</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22.低电提醒：支持自动检测电池电量，电量过低时发出提醒。</w:t>
            </w:r>
            <w:r>
              <w:rPr>
                <w:rFonts w:ascii="宋体" w:hAnsi="宋体" w:cs="宋体"/>
                <w:color w:val="000000"/>
                <w:sz w:val="18"/>
                <w:szCs w:val="18"/>
              </w:rPr>
            </w:r>
            <w:r/>
          </w:p>
        </w:tc>
      </w:tr>
      <w:tr>
        <w:trPr>
          <w:trHeight w:val="1365"/>
        </w:trPr>
        <w:tc>
          <w:tcPr>
            <w:shd w:val="clear" w:color="auto" w:fill="ffffff"/>
            <w:tcW w:w="679"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22</w:t>
            </w:r>
            <w:r>
              <w:rPr>
                <w:rFonts w:ascii="宋体" w:hAnsi="宋体" w:cs="宋体"/>
                <w:color w:val="000000"/>
                <w:sz w:val="18"/>
                <w:szCs w:val="18"/>
              </w:rPr>
            </w:r>
            <w:r/>
          </w:p>
        </w:tc>
        <w:tc>
          <w:tcPr>
            <w:shd w:val="clear" w:color="auto" w:fill="ffffff"/>
            <w:tcW w:w="1065" w:type="dxa"/>
            <w:vAlign w:val="center"/>
            <w:textDirection w:val="lrTb"/>
            <w:noWrap w:val="false"/>
          </w:tcPr>
          <w:p>
            <w:pPr>
              <w:pStyle w:val="915"/>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智能药柜/耗材柜</w:t>
            </w:r>
            <w:r>
              <w:rPr>
                <w:rFonts w:ascii="宋体" w:hAnsi="宋体" w:cs="宋体"/>
                <w:color w:val="000000"/>
                <w:sz w:val="18"/>
                <w:szCs w:val="18"/>
                <w:lang w:bidi="ar"/>
              </w:rPr>
            </w:r>
            <w:r/>
          </w:p>
        </w:tc>
        <w:tc>
          <w:tcPr>
            <w:shd w:val="clear" w:color="auto" w:fill="ffffff"/>
            <w:tcW w:w="992"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智能药品管控终端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jc w:val="left"/>
              <w:spacing w:line="360" w:lineRule="auto"/>
              <w:widowControl/>
              <w:rPr>
                <w:rFonts w:ascii="宋体" w:hAnsi="宋体" w:cs="宋体"/>
                <w:bCs/>
                <w:color w:val="000000"/>
                <w:sz w:val="18"/>
                <w:szCs w:val="18"/>
                <w:lang w:bidi="ar"/>
              </w:rPr>
            </w:pPr>
            <w:r/>
            <w:bookmarkStart w:id="204" w:name="_Hlk209000124"/>
            <w:r>
              <w:rPr>
                <w:rFonts w:hint="eastAsia" w:ascii="宋体" w:hAnsi="宋体" w:cs="宋体"/>
                <w:bCs/>
                <w:color w:val="000000"/>
                <w:sz w:val="18"/>
                <w:szCs w:val="18"/>
                <w:lang w:bidi="ar"/>
              </w:rPr>
              <w:t xml:space="preserve">1.▲整体尺寸：</w:t>
            </w:r>
            <w:r>
              <w:rPr>
                <w:rFonts w:ascii="宋体" w:hAnsi="宋体" w:cs="宋体"/>
                <w:bCs/>
                <w:color w:val="000000"/>
                <w:sz w:val="18"/>
                <w:szCs w:val="18"/>
                <w:lang w:bidi="ar"/>
              </w:rPr>
            </w:r>
            <w:r/>
          </w:p>
          <w:p>
            <w:pPr>
              <w:pStyle w:val="915"/>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长1400mm(±10mm)*宽622mm(±10mm)*深652mm(±10mm)；台面高度1400mm(±10mm)，柜体材质喷塑镀锌板（防锈、防腐蚀）;操作台面材质喷塑镀锌板;输入电源24V 8.3A;备用电源1小时的备用电源，可提供紧急断电保障;应急开关具备在断电断网等情况下能打开柜体取药的智能电子开关;工作温度-20℃至+55℃;存储湿度≤85%。</w:t>
            </w:r>
            <w:r>
              <w:rPr>
                <w:rFonts w:ascii="宋体" w:hAnsi="宋体" w:cs="宋体"/>
                <w:bCs/>
                <w:color w:val="000000"/>
                <w:sz w:val="18"/>
                <w:szCs w:val="18"/>
                <w:lang w:bidi="ar"/>
              </w:rPr>
            </w:r>
            <w:r/>
          </w:p>
          <w:p>
            <w:pPr>
              <w:pStyle w:val="915"/>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存储单元规格:</w:t>
            </w:r>
            <w:r>
              <w:rPr>
                <w:rFonts w:ascii="宋体" w:hAnsi="宋体" w:cs="宋体"/>
                <w:bCs/>
                <w:color w:val="000000"/>
                <w:sz w:val="18"/>
                <w:szCs w:val="18"/>
                <w:lang w:bidi="ar"/>
              </w:rPr>
            </w:r>
            <w:r/>
          </w:p>
          <w:p>
            <w:pPr>
              <w:pStyle w:val="915"/>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(1)单支药品带锁单元格：长11.3cm(±0.2cm)宽5.4cm(±0.2cm)高5.4cm(±0.2cm)，每层格数不少于27个单元格</w:t>
            </w:r>
            <w:r>
              <w:rPr>
                <w:rFonts w:ascii="宋体" w:hAnsi="宋体" w:cs="宋体"/>
                <w:bCs/>
                <w:color w:val="000000"/>
                <w:sz w:val="18"/>
                <w:szCs w:val="18"/>
                <w:lang w:bidi="ar"/>
              </w:rPr>
            </w:r>
            <w:r/>
          </w:p>
          <w:p>
            <w:pPr>
              <w:pStyle w:val="915"/>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(2)多支药品带锁单元格：长11.3cm(±0.2cm)宽18cm(±0.2cm)高5.4cm(±0.2cm)，</w:t>
            </w:r>
            <w:r>
              <w:rPr>
                <w:rFonts w:ascii="宋体" w:hAnsi="宋体" w:cs="宋体"/>
                <w:bCs/>
                <w:color w:val="000000"/>
                <w:sz w:val="18"/>
                <w:szCs w:val="18"/>
                <w:lang w:bidi="ar"/>
              </w:rPr>
            </w:r>
            <w:r/>
          </w:p>
          <w:p>
            <w:pPr>
              <w:pStyle w:val="915"/>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(3)每层格数不少于9个单元格</w:t>
            </w:r>
            <w:r>
              <w:rPr>
                <w:rFonts w:ascii="宋体" w:hAnsi="宋体" w:cs="宋体"/>
                <w:bCs/>
                <w:color w:val="000000"/>
                <w:sz w:val="18"/>
                <w:szCs w:val="18"/>
                <w:lang w:bidi="ar"/>
              </w:rPr>
            </w:r>
            <w:r/>
          </w:p>
          <w:p>
            <w:pPr>
              <w:pStyle w:val="915"/>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(4)无锁单元格：长21cm(±0.2cm)宽18cm(±0.2cm)高14cm(±0.2cm)，每层格数不少于6个单元格</w:t>
            </w:r>
            <w:r>
              <w:rPr>
                <w:rFonts w:ascii="宋体" w:hAnsi="宋体" w:cs="宋体"/>
                <w:bCs/>
                <w:color w:val="000000"/>
                <w:sz w:val="18"/>
                <w:szCs w:val="18"/>
                <w:lang w:bidi="ar"/>
              </w:rPr>
            </w:r>
            <w:r/>
          </w:p>
          <w:p>
            <w:pPr>
              <w:pStyle w:val="915"/>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要求提供实物照片并加盖公章。</w:t>
            </w:r>
            <w:r>
              <w:rPr>
                <w:rFonts w:ascii="宋体" w:hAnsi="宋体" w:cs="宋体"/>
                <w:bCs/>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2.外设设备</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(1)约21寸</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(2)输入电压 12V</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(3)COM X1 USB X4  </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(4)条码扫描器：</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(5)扫描速率：75线/秒</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(6)扫描方式：单线扫描</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(7)支持一维/二维码</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(8)条码打印机：</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(9)分辨率： 203dpi </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(10)打印方式： 热敏或热转印 </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(11)指纹识别仪</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(12)传感器：“活体”采集 </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(13)指纹识别算法: 全球领先Justouch指纹识别算法</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(14)指纹仪采集面积：20.4x33.4mm</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(15)图象分辨率：500 DPI</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(16)比对方式:指纹比对1：1、1：N </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(17)指纹图象采集时间:≤0.5S （1：1）≤1.3S (1：1000)</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(18)指纹比对时间:≤0.01S </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(19)拒真率:≤0.5℅ </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(20)认假率:≤0.001℅</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(21)无线键盘+鼠标"</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3.智能电控锁:储药格盒盖电控锁：输入电压 12V,行程10mm;储药柜门电控锁：输入电压 12V,电流 2A;</w:t>
            </w:r>
            <w:r>
              <w:rPr>
                <w:rFonts w:ascii="宋体" w:hAnsi="宋体" w:cs="宋体"/>
                <w:color w:val="000000"/>
                <w:sz w:val="18"/>
                <w:szCs w:val="18"/>
                <w:lang w:bidi="ar"/>
              </w:rPr>
            </w:r>
            <w:r/>
          </w:p>
          <w:p>
            <w:pPr>
              <w:pStyle w:val="915"/>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4.回收箱：要求配置回收箱，可用于使用后的毒麻药品的空瓶回收</w:t>
            </w:r>
            <w:bookmarkEnd w:id="204"/>
            <w:r>
              <w:rPr>
                <w:rFonts w:ascii="宋体" w:hAnsi="宋体" w:cs="宋体"/>
                <w:color w:val="000000"/>
                <w:sz w:val="18"/>
                <w:szCs w:val="18"/>
                <w:lang w:bidi="ar"/>
              </w:rPr>
            </w:r>
            <w:r/>
          </w:p>
        </w:tc>
      </w:tr>
      <w:tr>
        <w:trPr>
          <w:trHeight w:val="2490"/>
        </w:trPr>
        <w:tc>
          <w:tcPr>
            <w:shd w:val="clear" w:color="auto" w:fill="ffffff"/>
            <w:tcW w:w="679"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23</w:t>
            </w:r>
            <w:r>
              <w:rPr>
                <w:rFonts w:ascii="宋体" w:hAnsi="宋体" w:cs="宋体"/>
                <w:color w:val="000000"/>
                <w:sz w:val="18"/>
                <w:szCs w:val="18"/>
              </w:rPr>
            </w:r>
            <w:r/>
          </w:p>
        </w:tc>
        <w:tc>
          <w:tcPr>
            <w:shd w:val="clear" w:color="auto" w:fill="ffffff"/>
            <w:tcW w:w="1065" w:type="dxa"/>
            <w:vAlign w:val="center"/>
            <w:vMerge w:val="restart"/>
            <w:textDirection w:val="lrTb"/>
            <w:noWrap w:val="false"/>
          </w:tcPr>
          <w:p>
            <w:pPr>
              <w:pStyle w:val="915"/>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智慧输液系统</w:t>
            </w:r>
            <w:r>
              <w:rPr>
                <w:rFonts w:ascii="宋体" w:hAnsi="宋体" w:cs="宋体"/>
                <w:color w:val="000000"/>
                <w:sz w:val="18"/>
                <w:szCs w:val="18"/>
                <w:lang w:bidi="ar"/>
              </w:rPr>
            </w:r>
            <w:r/>
          </w:p>
        </w:tc>
        <w:tc>
          <w:tcPr>
            <w:shd w:val="clear" w:color="auto" w:fill="ffffff"/>
            <w:tcW w:w="992"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输液监控终端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1.正常工作模式下≥480小时。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2.规格≤140mmX120mmX50mm（长宽厚）。</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3.使用电磁探测（不接受称重式）。</w:t>
            </w:r>
            <w:r>
              <w:rPr>
                <w:rFonts w:hint="eastAsia" w:ascii="宋体" w:hAnsi="宋体" w:cs="宋体"/>
                <w:color w:val="000000"/>
                <w:sz w:val="18"/>
                <w:szCs w:val="18"/>
                <w:lang w:bidi="ar"/>
              </w:rPr>
              <w:br w:type="textWrapping" w:clear="all"/>
            </w:r>
            <w:r>
              <w:rPr>
                <w:rFonts w:hint="eastAsia" w:ascii="宋体" w:hAnsi="宋体" w:cs="宋体"/>
                <w:bCs/>
                <w:color w:val="000000"/>
                <w:sz w:val="18"/>
                <w:szCs w:val="18"/>
                <w:lang w:bidi="ar"/>
              </w:rPr>
              <w:t xml:space="preserve">4.▲设备能够控制输液速度；设备能够识别输液状态，且状态识别功能≥6种，输液状态需包含但不限于输液完成状态、输液堵塞状态、输液速度过快状态、输液速度过慢状态、空气报警状态、低电量报警状态；支持在输液完成时自动锁死输液管路并发出声光报警；支持在输液管路进入空气时报出声光报警；（需提供国家认可的在效期内的三方检测报告和产品白皮书并提供投标人加盖公章的承诺函）。</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5.可一键复位到上次设置参数开始输液。可在输液完成状态、输液堵塞状态、输液速度过快状态、输液速度过慢状态、空气报警状态时启用一键复位。</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6.准确识别出输液完成状态。支持在输液完成时自动锁死输液管路并发出声光报警。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7.准确识别出输液堵塞状态。支持在输液堵塞时发出声光报警。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8.准确识别出输液速度过快、过慢状态并发出声光报警。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9.在输液过程中，能够有效的检测出输液管路中的空气，防止空气输入人体。</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10.支持在电池低电压时发出声光报警。</w:t>
            </w:r>
            <w:r>
              <w:rPr>
                <w:rFonts w:hint="eastAsia" w:ascii="宋体" w:hAnsi="宋体" w:cs="宋体"/>
                <w:color w:val="000000"/>
                <w:sz w:val="18"/>
                <w:szCs w:val="18"/>
                <w:lang w:bidi="ar"/>
              </w:rPr>
              <w:br w:type="textWrapping" w:clear="all"/>
            </w:r>
            <w:r>
              <w:rPr>
                <w:rFonts w:hint="eastAsia" w:ascii="宋体" w:hAnsi="宋体" w:cs="宋体"/>
                <w:bCs/>
                <w:color w:val="000000"/>
                <w:sz w:val="18"/>
                <w:szCs w:val="18"/>
                <w:lang w:bidi="ar"/>
              </w:rPr>
              <w:t xml:space="preserve">★11.（1）满足以下两项中任意一项要求:①供应商为所投产品（输液监控终端）制造商：具有有效期内的二类医疗器械生产许可证； ②供应商为所投产品（输液监控终端）经销商：具有有效期内的二类医疗器械经营备案凭证或医疗器械经营许可证； </w:t>
            </w:r>
            <w:r>
              <w:rPr>
                <w:rFonts w:hint="eastAsia" w:ascii="宋体" w:hAnsi="宋体" w:cs="宋体"/>
                <w:bCs/>
                <w:color w:val="000000"/>
                <w:sz w:val="18"/>
                <w:szCs w:val="18"/>
                <w:lang w:bidi="ar"/>
              </w:rPr>
              <w:br w:type="textWrapping" w:clear="all"/>
            </w:r>
            <w:r>
              <w:rPr>
                <w:rFonts w:hint="eastAsia" w:ascii="宋体" w:hAnsi="宋体" w:cs="宋体"/>
                <w:bCs/>
                <w:color w:val="000000"/>
                <w:sz w:val="18"/>
                <w:szCs w:val="18"/>
                <w:lang w:bidi="ar"/>
              </w:rPr>
              <w:t xml:space="preserve">（2）提供所投产品（输液监控终端）的有效医疗器械注册证。</w:t>
            </w:r>
            <w:r>
              <w:rPr>
                <w:rFonts w:ascii="宋体" w:hAnsi="宋体" w:cs="宋体"/>
                <w:color w:val="000000"/>
                <w:sz w:val="18"/>
                <w:szCs w:val="18"/>
              </w:rPr>
            </w:r>
            <w:r/>
          </w:p>
        </w:tc>
      </w:tr>
      <w:tr>
        <w:trPr>
          <w:trHeight w:val="1155"/>
        </w:trPr>
        <w:tc>
          <w:tcPr>
            <w:shd w:val="clear" w:color="auto" w:fill="ffffff"/>
            <w:tcW w:w="679"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shd w:val="clear" w:color="auto" w:fill="ffffff"/>
            <w:tcW w:w="1065" w:type="dxa"/>
            <w:vAlign w:val="center"/>
            <w:vMerge w:val="continue"/>
            <w:textDirection w:val="lrTb"/>
            <w:noWrap w:val="false"/>
          </w:tcPr>
          <w:p>
            <w:pPr>
              <w:pStyle w:val="915"/>
              <w:jc w:val="center"/>
              <w:spacing w:line="360" w:lineRule="auto"/>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ffffff"/>
            <w:tcW w:w="992"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zigbee无线物联网网络终端</w:t>
            </w:r>
            <w:r>
              <w:rPr>
                <w:rFonts w:ascii="宋体" w:hAnsi="宋体" w:cs="宋体"/>
                <w:color w:val="000000"/>
                <w:sz w:val="18"/>
                <w:szCs w:val="18"/>
              </w:rPr>
            </w:r>
            <w:r/>
          </w:p>
        </w:tc>
        <w:tc>
          <w:tcPr>
            <w:shd w:val="clear" w:color="auto" w:fill="ffffff"/>
            <w:tcW w:w="5783"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1.支持100m室内有效传输距离</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2.支持3S传输一次输液信息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3.符合无线网络应用要求</w:t>
            </w:r>
            <w:r>
              <w:rPr>
                <w:rFonts w:ascii="宋体" w:hAnsi="宋体" w:cs="宋体"/>
                <w:color w:val="000000"/>
                <w:sz w:val="18"/>
                <w:szCs w:val="18"/>
              </w:rPr>
            </w:r>
            <w:r/>
          </w:p>
        </w:tc>
      </w:tr>
      <w:tr>
        <w:trPr>
          <w:trHeight w:val="2070"/>
        </w:trPr>
        <w:tc>
          <w:tcPr>
            <w:shd w:val="clear" w:color="auto" w:fill="ffffff"/>
            <w:tcW w:w="679" w:type="dxa"/>
            <w:vAlign w:val="center"/>
            <w:textDirection w:val="lrTb"/>
            <w:noWrap w:val="false"/>
          </w:tcPr>
          <w:p>
            <w:pPr>
              <w:pStyle w:val="915"/>
              <w:jc w:val="center"/>
              <w:spacing w:line="360" w:lineRule="auto"/>
              <w:widowControl/>
              <w:rPr>
                <w:rFonts w:ascii="宋体" w:hAnsi="宋体" w:cs="宋体"/>
                <w:bCs/>
                <w:color w:val="000000"/>
                <w:sz w:val="18"/>
                <w:szCs w:val="18"/>
              </w:rPr>
            </w:pPr>
            <w:r>
              <w:rPr>
                <w:rFonts w:hint="eastAsia" w:ascii="宋体" w:hAnsi="宋体" w:cs="宋体"/>
                <w:bCs/>
                <w:color w:val="000000"/>
                <w:sz w:val="18"/>
                <w:szCs w:val="18"/>
                <w:lang w:bidi="ar"/>
              </w:rPr>
              <w:t xml:space="preserve">25</w:t>
            </w:r>
            <w:r>
              <w:rPr>
                <w:rFonts w:ascii="宋体" w:hAnsi="宋体" w:cs="宋体"/>
                <w:bCs/>
                <w:color w:val="000000"/>
                <w:sz w:val="18"/>
                <w:szCs w:val="18"/>
              </w:rPr>
            </w:r>
            <w:r/>
          </w:p>
        </w:tc>
        <w:tc>
          <w:tcPr>
            <w:shd w:val="clear" w:color="auto" w:fill="ffffff"/>
            <w:tcW w:w="1065" w:type="dxa"/>
            <w:vAlign w:val="center"/>
            <w:textDirection w:val="lrTb"/>
            <w:noWrap w:val="false"/>
          </w:tcPr>
          <w:p>
            <w:pPr>
              <w:pStyle w:val="915"/>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部署</w:t>
            </w:r>
            <w:r>
              <w:rPr>
                <w:rFonts w:ascii="宋体" w:hAnsi="宋体" w:cs="宋体"/>
                <w:color w:val="000000"/>
                <w:sz w:val="18"/>
                <w:szCs w:val="18"/>
                <w:lang w:bidi="ar"/>
              </w:rPr>
            </w:r>
            <w:r/>
          </w:p>
        </w:tc>
        <w:tc>
          <w:tcPr>
            <w:shd w:val="clear" w:color="auto" w:fill="ffffff"/>
            <w:tcW w:w="992" w:type="dxa"/>
            <w:vAlign w:val="center"/>
            <w:textDirection w:val="lrTb"/>
            <w:noWrap w:val="false"/>
          </w:tcPr>
          <w:p>
            <w:pPr>
              <w:pStyle w:val="915"/>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实施部署</w:t>
            </w:r>
            <w:r>
              <w:rPr>
                <w:rFonts w:ascii="宋体" w:hAnsi="宋体" w:cs="宋体"/>
                <w:color w:val="000000"/>
                <w:sz w:val="18"/>
                <w:szCs w:val="18"/>
              </w:rPr>
            </w:r>
            <w:r/>
          </w:p>
        </w:tc>
        <w:tc>
          <w:tcPr>
            <w:shd w:val="clear" w:color="auto" w:fill="ffffff"/>
            <w:tcW w:w="5783" w:type="dxa"/>
            <w:vAlign w:val="center"/>
            <w:textDirection w:val="lrTb"/>
            <w:noWrap w:val="false"/>
          </w:tcPr>
          <w:p>
            <w:pPr>
              <w:pStyle w:val="915"/>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24口交换机</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1.24个10/100/1000Base-T以太网端口；</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2.无阻塞高速转发，包转发率≥30Mpps；</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3.支持DHCP相关功能。</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综合布线，安装，调试，培训</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完成本项目范围内的综合布线，设备安装，系统调试，系统培训等任务。</w:t>
            </w:r>
            <w:r>
              <w:rPr>
                <w:rFonts w:ascii="宋体" w:hAnsi="宋体" w:cs="宋体"/>
                <w:color w:val="000000"/>
                <w:sz w:val="18"/>
                <w:szCs w:val="18"/>
              </w:rPr>
            </w:r>
            <w:r/>
          </w:p>
        </w:tc>
      </w:tr>
    </w:tbl>
    <w:p>
      <w:pPr>
        <w:pStyle w:val="915"/>
        <w:rPr>
          <w:color w:val="000000"/>
        </w:rPr>
      </w:pPr>
      <w:r>
        <w:rPr>
          <w:color w:val="000000"/>
        </w:rPr>
      </w:r>
      <w:r/>
    </w:p>
    <w:p>
      <w:pPr>
        <w:pStyle w:val="1014"/>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.4</w:t>
      </w:r>
      <w:r>
        <w:rPr>
          <w:rFonts w:hint="eastAsia" w:eastAsia="宋体"/>
          <w:color w:val="000000"/>
          <w:szCs w:val="21"/>
        </w:rPr>
        <w:t xml:space="preserve">实施要求</w:t>
      </w:r>
      <w:r>
        <w:rPr>
          <w:rFonts w:eastAsia="宋体"/>
          <w:color w:val="000000"/>
          <w:szCs w:val="21"/>
        </w:rPr>
      </w:r>
      <w:r/>
    </w:p>
    <w:p>
      <w:pPr>
        <w:pStyle w:val="915"/>
        <w:ind w:firstLine="480"/>
        <w:jc w:val="left"/>
        <w:spacing w:line="360" w:lineRule="auto"/>
        <w:rPr>
          <w:rFonts w:ascii="宋体" w:hAnsi="宋体"/>
          <w:color w:val="000000"/>
          <w:sz w:val="24"/>
        </w:rPr>
      </w:pPr>
      <w:r>
        <w:rPr>
          <w:rFonts w:hint="eastAsia" w:ascii="宋体" w:hAnsi="宋体"/>
          <w:color w:val="000000"/>
          <w:sz w:val="24"/>
        </w:rPr>
        <w:t xml:space="preserve">（一）实施工期：合同签订之日起</w:t>
      </w:r>
      <w:r>
        <w:rPr>
          <w:rFonts w:ascii="宋体" w:hAnsi="宋体"/>
          <w:color w:val="000000"/>
          <w:sz w:val="24"/>
        </w:rPr>
        <w:t xml:space="preserve">3</w:t>
      </w:r>
      <w:r>
        <w:rPr>
          <w:rFonts w:hint="eastAsia" w:ascii="宋体" w:hAnsi="宋体"/>
          <w:color w:val="000000"/>
          <w:sz w:val="24"/>
        </w:rPr>
        <w:t xml:space="preserve">个月内到货、安装、调试完毕。</w:t>
      </w:r>
      <w:r>
        <w:rPr>
          <w:rFonts w:ascii="宋体" w:hAnsi="宋体"/>
          <w:color w:val="000000"/>
          <w:sz w:val="24"/>
        </w:rPr>
      </w:r>
      <w:r/>
    </w:p>
    <w:p>
      <w:pPr>
        <w:pStyle w:val="915"/>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二</w:t>
      </w:r>
      <w:r>
        <w:rPr>
          <w:rFonts w:ascii="宋体" w:hAnsi="宋体"/>
          <w:color w:val="000000"/>
          <w:sz w:val="24"/>
        </w:rPr>
        <w:t xml:space="preserve">）投标</w:t>
      </w:r>
      <w:r>
        <w:rPr>
          <w:rFonts w:hint="eastAsia" w:ascii="宋体" w:hAnsi="宋体"/>
          <w:color w:val="000000"/>
          <w:sz w:val="24"/>
        </w:rPr>
        <w:t xml:space="preserve">供应</w:t>
      </w:r>
      <w:r>
        <w:rPr>
          <w:rFonts w:ascii="宋体" w:hAnsi="宋体"/>
          <w:color w:val="000000"/>
          <w:sz w:val="24"/>
        </w:rPr>
        <w:t xml:space="preserve">商应仔细研读招标文件， 根据项目内容及理解， 提供项目详尽的实施方案和进度表。 实施方案内容包括： </w:t>
      </w:r>
      <w:r>
        <w:rPr>
          <w:rFonts w:ascii="宋体" w:hAnsi="宋体"/>
          <w:color w:val="000000"/>
          <w:sz w:val="24"/>
        </w:rPr>
      </w:r>
      <w:r/>
    </w:p>
    <w:p>
      <w:pPr>
        <w:pStyle w:val="1024"/>
        <w:ind w:left="0" w:firstLine="480"/>
        <w:spacing w:line="360" w:lineRule="auto"/>
        <w:widowControl w:val="off"/>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t xml:space="preserve">.组织保障安排： 成立领导小组，领导小组中的责任分工等。 </w:t>
      </w:r>
      <w:r>
        <w:rPr>
          <w:rFonts w:ascii="宋体" w:hAnsi="宋体"/>
          <w:color w:val="000000"/>
          <w:lang w:eastAsia="zh-CN"/>
        </w:rPr>
      </w:r>
      <w:r/>
    </w:p>
    <w:p>
      <w:pPr>
        <w:pStyle w:val="915"/>
        <w:ind w:left="480"/>
        <w:jc w:val="left"/>
        <w:spacing w:line="360" w:lineRule="auto"/>
        <w:rPr>
          <w:rFonts w:ascii="宋体" w:hAnsi="宋体"/>
          <w:color w:val="000000"/>
          <w:sz w:val="24"/>
        </w:rPr>
      </w:pPr>
      <w:r>
        <w:rPr>
          <w:rFonts w:ascii="宋体" w:hAnsi="宋体"/>
          <w:color w:val="000000"/>
          <w:sz w:val="24"/>
        </w:rPr>
        <w:t xml:space="preserve">2</w:t>
      </w:r>
      <w:r>
        <w:rPr>
          <w:rFonts w:ascii="宋体" w:hAnsi="宋体"/>
          <w:color w:val="000000"/>
        </w:rPr>
        <w:t xml:space="preserve">.</w:t>
      </w:r>
      <w:r>
        <w:rPr>
          <w:rFonts w:ascii="宋体" w:hAnsi="宋体"/>
          <w:color w:val="000000"/>
          <w:sz w:val="24"/>
        </w:rPr>
        <w:t xml:space="preserve">制定具体的实施流程、 实施内容。 </w:t>
      </w:r>
      <w:r>
        <w:rPr>
          <w:rFonts w:ascii="宋体" w:hAnsi="宋体"/>
          <w:color w:val="000000"/>
          <w:sz w:val="24"/>
        </w:rPr>
      </w:r>
      <w:r/>
    </w:p>
    <w:p>
      <w:pPr>
        <w:pStyle w:val="915"/>
        <w:ind w:firstLine="480"/>
        <w:jc w:val="left"/>
        <w:spacing w:line="360" w:lineRule="auto"/>
        <w:rPr>
          <w:rFonts w:ascii="宋体" w:hAnsi="宋体"/>
          <w:color w:val="000000"/>
          <w:sz w:val="24"/>
        </w:rPr>
      </w:pPr>
      <w:r>
        <w:rPr>
          <w:rFonts w:ascii="宋体" w:hAnsi="宋体"/>
          <w:color w:val="000000"/>
          <w:sz w:val="24"/>
        </w:rPr>
        <w:t xml:space="preserve">3</w:t>
      </w:r>
      <w:r>
        <w:rPr>
          <w:rFonts w:ascii="宋体" w:hAnsi="宋体"/>
          <w:color w:val="000000"/>
        </w:rPr>
        <w:t xml:space="preserve">.</w:t>
      </w:r>
      <w:r>
        <w:rPr>
          <w:rFonts w:ascii="宋体" w:hAnsi="宋体"/>
          <w:color w:val="000000"/>
          <w:sz w:val="24"/>
        </w:rPr>
        <w:t xml:space="preserve"> 投标供应商应在系统实施方案中描述具体的实施团队的组成、工作内容、投入人员、项目进程表及采购人的配合等内容。实施期间，投标供应商应按招标文件要求进行项目的开发实施工作</w:t>
      </w:r>
      <w:r>
        <w:rPr>
          <w:rFonts w:hint="eastAsia" w:ascii="宋体" w:hAnsi="宋体"/>
          <w:color w:val="000000"/>
          <w:sz w:val="24"/>
        </w:rPr>
        <w:t xml:space="preserve">，投标供应商需在投标文件中明确项目负责人及团队人员，具有相关职称的需在投标文件中提供,能协助医院提供全方位的工作，包括但不限于项目咨询、软件研发、系统实施等</w:t>
      </w:r>
      <w:r>
        <w:rPr>
          <w:rFonts w:ascii="宋体" w:hAnsi="宋体"/>
          <w:color w:val="000000"/>
          <w:sz w:val="24"/>
        </w:rPr>
        <w:t xml:space="preserve">。 </w:t>
      </w:r>
      <w:r>
        <w:rPr>
          <w:rFonts w:ascii="宋体" w:hAnsi="宋体"/>
          <w:color w:val="000000"/>
          <w:sz w:val="24"/>
        </w:rPr>
      </w:r>
      <w:r/>
    </w:p>
    <w:p>
      <w:pPr>
        <w:pStyle w:val="915"/>
        <w:ind w:firstLine="480"/>
        <w:jc w:val="left"/>
        <w:spacing w:line="360" w:lineRule="auto"/>
        <w:rPr>
          <w:rFonts w:ascii="宋体" w:hAnsi="宋体"/>
          <w:color w:val="000000"/>
          <w:sz w:val="24"/>
        </w:rPr>
      </w:pPr>
      <w:r>
        <w:rPr>
          <w:rFonts w:ascii="宋体" w:hAnsi="宋体"/>
          <w:color w:val="000000"/>
          <w:sz w:val="24"/>
        </w:rPr>
        <w:t xml:space="preserve">（三） 系统运行前完成医院基础数据的收集整理、 校对录入和测试， 做好数据初始化工作。 </w:t>
      </w:r>
      <w:r>
        <w:rPr>
          <w:rFonts w:ascii="宋体" w:hAnsi="宋体"/>
          <w:color w:val="000000"/>
          <w:sz w:val="24"/>
        </w:rPr>
      </w:r>
      <w:r/>
    </w:p>
    <w:p>
      <w:pPr>
        <w:pStyle w:val="997"/>
        <w:ind w:firstLine="480"/>
        <w:spacing w:before="0" w:beforeAutospacing="0" w:after="0" w:afterAutospacing="0" w:line="360" w:lineRule="auto"/>
        <w:rPr>
          <w:rFonts w:cs="Times New Roman"/>
          <w:color w:val="000000"/>
        </w:rPr>
      </w:pPr>
      <w:r>
        <w:rPr>
          <w:rFonts w:cs="Times New Roman"/>
          <w:color w:val="000000"/>
        </w:rPr>
        <w:t xml:space="preserve">（</w:t>
      </w:r>
      <w:r>
        <w:rPr>
          <w:rFonts w:hint="eastAsia" w:cs="Times New Roman"/>
          <w:color w:val="000000"/>
        </w:rPr>
        <w:t xml:space="preserve">四</w:t>
      </w:r>
      <w:r>
        <w:rPr>
          <w:rFonts w:cs="Times New Roman"/>
          <w:color w:val="000000"/>
        </w:rPr>
        <w:t xml:space="preserve">） 从合同签订开始， 中标供应商需对采购人项目相关的科室、 人员、 第三方项目参与方进行分期、分批的各种技术培训。 </w:t>
      </w:r>
      <w:r>
        <w:rPr>
          <w:rFonts w:cs="Times New Roman"/>
          <w:color w:val="000000"/>
        </w:rPr>
      </w:r>
      <w:r/>
    </w:p>
    <w:p>
      <w:pPr>
        <w:pStyle w:val="997"/>
        <w:ind w:left="65" w:firstLine="480"/>
        <w:spacing w:before="0" w:beforeAutospacing="0" w:after="0" w:afterAutospacing="0" w:line="360" w:lineRule="auto"/>
        <w:rPr>
          <w:rFonts w:cs="Times New Roman"/>
          <w:color w:val="000000"/>
        </w:rPr>
      </w:pPr>
      <w:r>
        <w:rPr>
          <w:rFonts w:cs="Times New Roman"/>
          <w:color w:val="000000"/>
        </w:rPr>
        <w:t xml:space="preserve">（</w:t>
      </w:r>
      <w:r>
        <w:rPr>
          <w:rFonts w:hint="eastAsia" w:cs="Times New Roman"/>
          <w:color w:val="000000"/>
        </w:rPr>
        <w:t xml:space="preserve">五</w:t>
      </w:r>
      <w:r>
        <w:rPr>
          <w:rFonts w:cs="Times New Roman"/>
          <w:color w:val="000000"/>
        </w:rPr>
        <w:t xml:space="preserve">） 中标供应商须承担本次项目所采购软件、硬件的总集成服务，具体包括项目组织实施工作，与本项目相关的其他设备和利旧设备的集成工作， 做好数据迁移， 配合其他软件开发商做好上线工作，对后续管理人员进行培训，协助用户做好维护服务，保证新系统的正常运行等。 </w:t>
      </w:r>
      <w:r>
        <w:rPr>
          <w:rFonts w:cs="Times New Roman"/>
          <w:color w:val="000000"/>
        </w:rPr>
      </w:r>
      <w:r/>
    </w:p>
    <w:p>
      <w:pPr>
        <w:pStyle w:val="1014"/>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.5</w:t>
      </w:r>
      <w:r>
        <w:rPr>
          <w:rFonts w:hint="eastAsia" w:eastAsia="宋体"/>
          <w:color w:val="000000"/>
          <w:szCs w:val="21"/>
        </w:rPr>
        <w:t xml:space="preserve">集成服务要求</w:t>
      </w:r>
      <w:r>
        <w:rPr>
          <w:rFonts w:eastAsia="宋体"/>
          <w:color w:val="000000"/>
          <w:szCs w:val="21"/>
        </w:rPr>
      </w:r>
      <w:r/>
    </w:p>
    <w:p>
      <w:pPr>
        <w:pStyle w:val="915"/>
        <w:ind w:firstLine="480"/>
        <w:jc w:val="left"/>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1）投标人所投设备安装和服务必须按照招标文件要求，把整个系统集成的统一生态平台。所有产品根据</w:t>
      </w:r>
      <w:r>
        <w:rPr>
          <w:rFonts w:hint="eastAsia" w:ascii="宋体" w:hAnsi="宋体"/>
          <w:color w:val="000000"/>
          <w:sz w:val="24"/>
        </w:rPr>
        <w:t xml:space="preserve">医院</w:t>
      </w:r>
      <w:r>
        <w:rPr>
          <w:rFonts w:ascii="宋体" w:hAnsi="宋体"/>
          <w:color w:val="000000"/>
          <w:sz w:val="24"/>
        </w:rPr>
        <w:t xml:space="preserve">要求安装调试，整体系统方案要运行良好直到</w:t>
      </w:r>
      <w:r>
        <w:rPr>
          <w:rFonts w:hint="eastAsia" w:ascii="宋体" w:hAnsi="宋体"/>
          <w:color w:val="000000"/>
          <w:sz w:val="24"/>
        </w:rPr>
        <w:t xml:space="preserve">医院</w:t>
      </w:r>
      <w:r>
        <w:rPr>
          <w:rFonts w:ascii="宋体" w:hAnsi="宋体"/>
          <w:color w:val="000000"/>
          <w:sz w:val="24"/>
        </w:rPr>
        <w:t xml:space="preserve">满意为止。</w:t>
      </w:r>
      <w:r>
        <w:rPr>
          <w:rFonts w:ascii="宋体" w:hAnsi="宋体"/>
          <w:color w:val="000000"/>
          <w:sz w:val="24"/>
        </w:rPr>
      </w:r>
      <w:r/>
    </w:p>
    <w:p>
      <w:pPr>
        <w:pStyle w:val="915"/>
        <w:ind w:firstLine="480"/>
        <w:jc w:val="left"/>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如招标文件中遗漏了本次项目建设所必须具备的设备、配件或服务，请投标人在投标文件中指出，并提出解决方案供参考；投标人有义务保证采购人业务网络的互联互通，提供项目实施过程中缺少的设备、配件或服务，保证采购人业务系统正常运行。</w:t>
      </w:r>
      <w:r>
        <w:rPr>
          <w:rFonts w:ascii="宋体" w:hAnsi="宋体"/>
          <w:color w:val="000000"/>
          <w:sz w:val="24"/>
        </w:rPr>
      </w:r>
      <w:r/>
    </w:p>
    <w:p>
      <w:pPr>
        <w:pStyle w:val="1014"/>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.6</w:t>
      </w:r>
      <w:r>
        <w:rPr>
          <w:rFonts w:hint="eastAsia" w:eastAsia="宋体"/>
          <w:color w:val="000000"/>
          <w:szCs w:val="21"/>
        </w:rPr>
        <w:t xml:space="preserve">培训要求</w:t>
      </w:r>
      <w:r>
        <w:rPr>
          <w:rFonts w:eastAsia="宋体"/>
          <w:color w:val="000000"/>
          <w:szCs w:val="21"/>
        </w:rPr>
      </w:r>
      <w:r/>
    </w:p>
    <w:p>
      <w:pPr>
        <w:pStyle w:val="915"/>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培训：培训对象包括系统管理员、</w:t>
      </w:r>
      <w:r>
        <w:rPr>
          <w:rFonts w:hint="eastAsia" w:ascii="宋体" w:hAnsi="宋体"/>
          <w:color w:val="000000"/>
          <w:sz w:val="24"/>
        </w:rPr>
        <w:t xml:space="preserve">护理</w:t>
      </w:r>
      <w:r>
        <w:rPr>
          <w:rFonts w:ascii="宋体" w:hAnsi="宋体"/>
          <w:color w:val="000000"/>
          <w:sz w:val="24"/>
        </w:rPr>
        <w:t xml:space="preserve">人员、操作员，系统管理人员培训内容为系统中涉及的相关技术内容；医院</w:t>
      </w:r>
      <w:r>
        <w:rPr>
          <w:rFonts w:hint="eastAsia" w:ascii="宋体" w:hAnsi="宋体"/>
          <w:color w:val="000000"/>
          <w:sz w:val="24"/>
        </w:rPr>
        <w:t xml:space="preserve">护理</w:t>
      </w:r>
      <w:r>
        <w:rPr>
          <w:rFonts w:ascii="宋体" w:hAnsi="宋体"/>
          <w:color w:val="000000"/>
          <w:sz w:val="24"/>
        </w:rPr>
        <w:t xml:space="preserve">人员培训内容为系统流程和相关管理思想；操作员为系统的操作培训。</w:t>
      </w:r>
      <w:r>
        <w:rPr>
          <w:rFonts w:ascii="宋体" w:hAnsi="宋体"/>
          <w:color w:val="000000"/>
          <w:sz w:val="24"/>
        </w:rPr>
      </w:r>
      <w:r/>
    </w:p>
    <w:p>
      <w:pPr>
        <w:pStyle w:val="975"/>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.中标单位需</w:t>
      </w:r>
      <w:r>
        <w:rPr>
          <w:rFonts w:ascii="宋体" w:hAnsi="宋体"/>
          <w:color w:val="000000"/>
          <w:sz w:val="24"/>
        </w:rPr>
        <w:t xml:space="preserve">提供免费培训，为</w:t>
      </w:r>
      <w:r>
        <w:rPr>
          <w:rFonts w:hint="eastAsia" w:ascii="宋体" w:hAnsi="宋体"/>
          <w:color w:val="000000"/>
          <w:sz w:val="24"/>
        </w:rPr>
        <w:t xml:space="preserve">采购人</w:t>
      </w:r>
      <w:r>
        <w:rPr>
          <w:rFonts w:ascii="宋体" w:hAnsi="宋体"/>
          <w:color w:val="000000"/>
          <w:sz w:val="24"/>
        </w:rPr>
        <w:t xml:space="preserve">提供操作和维修培训</w:t>
      </w:r>
      <w:r>
        <w:rPr>
          <w:rFonts w:hint="eastAsia" w:ascii="宋体" w:hAnsi="宋体"/>
          <w:color w:val="000000"/>
          <w:sz w:val="24"/>
        </w:rPr>
        <w:t xml:space="preserve">直至满足采购人需求，并根据</w:t>
      </w:r>
      <w:r>
        <w:rPr>
          <w:rFonts w:ascii="宋体" w:hAnsi="宋体"/>
          <w:color w:val="000000"/>
          <w:sz w:val="24"/>
        </w:rPr>
        <w:t xml:space="preserve">医院的情况制定相关培训方案，课程设置</w:t>
      </w:r>
      <w:r>
        <w:rPr>
          <w:rFonts w:hint="eastAsia" w:ascii="宋体" w:hAnsi="宋体"/>
          <w:color w:val="000000"/>
          <w:sz w:val="24"/>
        </w:rPr>
        <w:t xml:space="preserve">、</w:t>
      </w:r>
      <w:r>
        <w:rPr>
          <w:rFonts w:ascii="宋体" w:hAnsi="宋体"/>
          <w:color w:val="000000"/>
          <w:sz w:val="24"/>
        </w:rPr>
        <w:t xml:space="preserve">培训资料、讲义等</w:t>
      </w:r>
      <w:r>
        <w:rPr>
          <w:rFonts w:hint="eastAsia" w:ascii="宋体" w:hAnsi="宋体"/>
          <w:color w:val="000000"/>
          <w:sz w:val="24"/>
        </w:rPr>
        <w:t xml:space="preserve">，</w:t>
      </w:r>
      <w:r>
        <w:rPr>
          <w:rFonts w:ascii="宋体" w:hAnsi="宋体"/>
          <w:color w:val="000000"/>
          <w:sz w:val="24"/>
        </w:rPr>
        <w:t xml:space="preserve">确保使用者</w:t>
      </w:r>
      <w:r>
        <w:rPr>
          <w:rFonts w:hint="eastAsia" w:ascii="宋体" w:hAnsi="宋体"/>
          <w:color w:val="000000"/>
          <w:sz w:val="24"/>
        </w:rPr>
        <w:t xml:space="preserve">达到</w:t>
      </w:r>
      <w:r>
        <w:rPr>
          <w:rFonts w:ascii="宋体" w:hAnsi="宋体"/>
          <w:color w:val="000000"/>
          <w:sz w:val="24"/>
        </w:rPr>
        <w:t xml:space="preserve">考核标准为止</w:t>
      </w:r>
      <w:r>
        <w:rPr>
          <w:rFonts w:hint="eastAsia" w:ascii="宋体" w:hAnsi="宋体"/>
          <w:color w:val="000000"/>
          <w:sz w:val="24"/>
        </w:rPr>
        <w:t xml:space="preserve">。</w:t>
      </w:r>
      <w:r>
        <w:rPr>
          <w:rFonts w:ascii="宋体" w:hAnsi="宋体"/>
          <w:color w:val="000000"/>
          <w:sz w:val="24"/>
        </w:rPr>
      </w:r>
      <w:r/>
    </w:p>
    <w:p>
      <w:pPr>
        <w:pStyle w:val="915"/>
        <w:ind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所有的培训费用必须计入投标总价。</w:t>
      </w:r>
      <w:r>
        <w:rPr>
          <w:rFonts w:ascii="宋体" w:hAnsi="宋体"/>
          <w:color w:val="000000"/>
          <w:sz w:val="24"/>
        </w:rPr>
      </w:r>
      <w:r/>
    </w:p>
    <w:p>
      <w:pPr>
        <w:pStyle w:val="1024"/>
        <w:ind w:firstLine="424"/>
        <w:rPr>
          <w:rFonts w:ascii="Times New Roman" w:hAnsi="Times New Roman"/>
          <w:lang w:eastAsia="zh-CN"/>
        </w:rPr>
      </w:pPr>
      <w:r>
        <w:rPr>
          <w:rFonts w:ascii="Times New Roman" w:hAnsi="Times New Roman"/>
          <w:lang w:eastAsia="zh-CN"/>
        </w:rPr>
      </w:r>
      <w:r/>
    </w:p>
    <w:p>
      <w:pPr>
        <w:pStyle w:val="915"/>
        <w:rPr>
          <w:i/>
          <w:iCs/>
          <w:sz w:val="24"/>
        </w:rPr>
      </w:pPr>
      <w:r>
        <w:rPr>
          <w:sz w:val="24"/>
        </w:rPr>
        <w:t xml:space="preserve">3. 验收标准</w:t>
      </w:r>
      <w:r>
        <w:rPr>
          <w:i/>
          <w:iCs/>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交付验收要求：</w:t>
      </w:r>
      <w:r>
        <w:rPr>
          <w:rFonts w:ascii="宋体" w:hAnsi="宋体"/>
          <w:color w:val="000000"/>
          <w:sz w:val="24"/>
        </w:rPr>
      </w:r>
      <w:r/>
    </w:p>
    <w:p>
      <w:pPr>
        <w:pStyle w:val="915"/>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采购人对投标人提供的货物在使用前进行调试时，投标人需负责安装并培训采购人的使用操作人员，并协助采购人一起调试，直到符合技术要求，采购人才做最终验收。</w:t>
      </w:r>
      <w:r>
        <w:rPr>
          <w:rFonts w:ascii="宋体" w:hAnsi="宋体"/>
          <w:color w:val="000000"/>
          <w:sz w:val="24"/>
        </w:rPr>
      </w:r>
      <w:r/>
    </w:p>
    <w:p>
      <w:pPr>
        <w:pStyle w:val="915"/>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.采购方组织项目验收时，可邀请未中标供应商或相关领域专家组成履约验收组，根据招标文件和投标供应商的投标文件进行履约验收，中标供应商必须全程参加</w:t>
      </w:r>
      <w:r>
        <w:rPr>
          <w:rFonts w:ascii="宋体" w:hAnsi="宋体"/>
          <w:color w:val="000000"/>
          <w:sz w:val="24"/>
        </w:rPr>
        <w:t xml:space="preserve">，验收完毕后一致作出验收结果报告。</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交付文档验收要求：</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项目的工作内容及成果文档的提交应覆盖以下内容，电子文档是成果不可分割的部分。</w:t>
      </w:r>
      <w:r>
        <w:rPr>
          <w:rFonts w:ascii="宋体" w:hAnsi="宋体"/>
          <w:color w:val="000000"/>
          <w:sz w:val="24"/>
        </w:rPr>
      </w:r>
      <w:r/>
    </w:p>
    <w:p>
      <w:pPr>
        <w:pStyle w:val="915"/>
        <w:ind w:firstLine="480"/>
        <w:spacing w:line="360" w:lineRule="auto"/>
        <w:rPr>
          <w:rFonts w:ascii="宋体" w:hAnsi="宋体"/>
          <w:color w:val="000000"/>
          <w:sz w:val="24"/>
        </w:rPr>
      </w:pPr>
      <w:r>
        <w:rPr>
          <w:rFonts w:ascii="宋体" w:hAnsi="宋体"/>
          <w:color w:val="000000"/>
          <w:sz w:val="24"/>
        </w:rPr>
        <w:t xml:space="preserve">1.系统的体系架构及描述。</w:t>
      </w:r>
      <w:r>
        <w:rPr>
          <w:rFonts w:ascii="宋体" w:hAnsi="宋体"/>
          <w:color w:val="000000"/>
          <w:sz w:val="24"/>
        </w:rPr>
      </w:r>
      <w:r/>
    </w:p>
    <w:p>
      <w:pPr>
        <w:pStyle w:val="915"/>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提供的其它技术手册，包括：</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需求分析报告（含软件功能需求与数据要求）；</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实施文档（包括建设、承建、监理、风评、审计）</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会议文档</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实施开发报告（承建单位）</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监理总结报告（如果项目有监理）</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风险评估报告（测评单位）</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软件培训资料；</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程序安装维护手册；</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软件使用操作手册；</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项目验收报告；</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全部甲方现场的客户化源代码；</w:t>
      </w:r>
      <w:r>
        <w:rPr>
          <w:rFonts w:ascii="宋体" w:hAnsi="宋体"/>
          <w:color w:val="000000"/>
          <w:sz w:val="24"/>
        </w:rPr>
      </w:r>
      <w:r/>
    </w:p>
    <w:p>
      <w:pPr>
        <w:pStyle w:val="915"/>
        <w:ind w:firstLine="480"/>
        <w:spacing w:line="360" w:lineRule="auto"/>
        <w:rPr>
          <w:rFonts w:ascii="宋体" w:hAnsi="宋体"/>
          <w:color w:val="000000"/>
          <w:sz w:val="24"/>
        </w:rPr>
      </w:pPr>
      <w:r>
        <w:rPr>
          <w:rFonts w:hint="eastAsia" w:ascii="宋体" w:hAnsi="宋体"/>
          <w:color w:val="000000"/>
          <w:sz w:val="24"/>
        </w:rPr>
        <w:t xml:space="preserve">其他项目建设的资料。</w:t>
      </w:r>
      <w:r>
        <w:rPr>
          <w:rFonts w:ascii="宋体" w:hAnsi="宋体"/>
          <w:color w:val="000000"/>
          <w:sz w:val="24"/>
        </w:rPr>
      </w:r>
      <w:r/>
    </w:p>
    <w:p>
      <w:pPr>
        <w:pStyle w:val="915"/>
        <w:ind w:firstLine="482"/>
        <w:widowControl/>
        <w:rPr>
          <w:b/>
          <w:sz w:val="24"/>
        </w:rPr>
      </w:pPr>
      <w:r>
        <w:rPr>
          <w:b/>
          <w:sz w:val="24"/>
        </w:rPr>
      </w:r>
      <w:r/>
    </w:p>
    <w:p>
      <w:pPr>
        <w:pStyle w:val="915"/>
        <w:rPr>
          <w:sz w:val="24"/>
        </w:rPr>
      </w:pPr>
      <w:r>
        <w:rPr>
          <w:sz w:val="24"/>
        </w:rPr>
        <w:t xml:space="preserve">4. 其他要求</w:t>
      </w:r>
      <w:r>
        <w:rPr>
          <w:sz w:val="24"/>
        </w:rPr>
      </w:r>
      <w:r/>
    </w:p>
    <w:p>
      <w:pPr>
        <w:pStyle w:val="915"/>
        <w:rPr>
          <w:rFonts w:hint="eastAsia"/>
          <w:iCs/>
          <w:sz w:val="24"/>
          <w:szCs w:val="24"/>
        </w:rPr>
      </w:pPr>
      <w:r>
        <w:rPr>
          <w:rFonts w:hint="eastAsia"/>
          <w:iCs/>
          <w:sz w:val="24"/>
          <w:szCs w:val="24"/>
        </w:rPr>
        <w:t xml:space="preserve">无</w:t>
      </w:r>
      <w:r>
        <w:rPr>
          <w:rFonts w:hint="eastAsia"/>
          <w:iCs/>
          <w:sz w:val="24"/>
          <w:szCs w:val="24"/>
        </w:rPr>
      </w:r>
      <w:r/>
    </w:p>
    <w:p>
      <w:pPr>
        <w:pStyle w:val="915"/>
        <w:rPr>
          <w:rFonts w:hint="eastAsia"/>
          <w:iCs/>
          <w:sz w:val="28"/>
          <w:szCs w:val="28"/>
        </w:rPr>
      </w:pPr>
      <w:r>
        <w:rPr>
          <w:rFonts w:hint="eastAsia"/>
          <w:iCs/>
          <w:sz w:val="28"/>
          <w:szCs w:val="28"/>
        </w:rPr>
      </w:r>
      <w:r/>
    </w:p>
    <w:p>
      <w:pPr>
        <w:pStyle w:val="915"/>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915"/>
        <w:ind w:firstLine="275"/>
        <w:rPr>
          <w:b/>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b/>
          <w:i/>
          <w:sz w:val="28"/>
          <w:szCs w:val="28"/>
          <w:u w:val="single"/>
        </w:rPr>
      </w:r>
      <w:r/>
    </w:p>
    <w:p>
      <w:pPr>
        <w:pStyle w:val="915"/>
        <w:ind w:firstLine="274"/>
        <w:rPr>
          <w:i/>
          <w:sz w:val="28"/>
          <w:szCs w:val="28"/>
          <w:u w:val="single"/>
        </w:rPr>
      </w:pPr>
      <w:r>
        <w:rPr>
          <w:i/>
          <w:sz w:val="28"/>
          <w:szCs w:val="28"/>
          <w:u w:val="single"/>
        </w:rPr>
      </w:r>
      <w:r/>
    </w:p>
    <w:p>
      <w:pPr>
        <w:pStyle w:val="915"/>
        <w:ind w:firstLine="274"/>
        <w:rPr>
          <w:i/>
          <w:sz w:val="28"/>
          <w:szCs w:val="28"/>
          <w:u w:val="single"/>
        </w:rPr>
      </w:pPr>
      <w:r>
        <w:rPr>
          <w:i/>
          <w:sz w:val="28"/>
          <w:szCs w:val="28"/>
          <w:u w:val="single"/>
        </w:rPr>
      </w:r>
      <w:r/>
    </w:p>
    <w:tbl>
      <w:tblPr>
        <w:tblW w:w="0" w:type="auto"/>
        <w:jc w:val="center"/>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91"/>
        <w:gridCol w:w="1224"/>
        <w:gridCol w:w="4961"/>
        <w:gridCol w:w="835"/>
        <w:gridCol w:w="981"/>
      </w:tblGrid>
      <w:tr>
        <w:trPr>
          <w:tblHeade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序号</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rFonts w:hint="eastAsia"/>
                <w:color w:val="000000"/>
              </w:rPr>
            </w:pPr>
            <w:r>
              <w:rPr>
                <w:rFonts w:hint="eastAsia" w:ascii="宋体" w:hAnsi="宋体" w:cs="宋体"/>
                <w:color w:val="000000"/>
                <w:lang w:bidi="ar"/>
              </w:rPr>
              <w:t xml:space="preserve">类别</w:t>
            </w:r>
            <w:r>
              <w:rPr>
                <w:rFonts w:hint="eastAsia"/>
                <w:color w:val="000000"/>
              </w:rPr>
            </w:r>
            <w:r/>
          </w:p>
        </w:tc>
        <w:tc>
          <w:tcPr>
            <w:tcMar>
              <w:left w:w="120" w:type="dxa"/>
              <w:top w:w="120" w:type="dxa"/>
              <w:right w:w="120" w:type="dxa"/>
              <w:bottom w:w="120" w:type="dxa"/>
            </w:tcMar>
            <w:tcW w:w="4961" w:type="dxa"/>
            <w:vAlign w:val="center"/>
            <w:textDirection w:val="lrTb"/>
            <w:noWrap w:val="false"/>
          </w:tcPr>
          <w:p>
            <w:pPr>
              <w:pStyle w:val="915"/>
              <w:jc w:val="center"/>
              <w:widowControl/>
              <w:rPr>
                <w:color w:val="000000"/>
              </w:rPr>
            </w:pPr>
            <w:r>
              <w:rPr>
                <w:rFonts w:ascii="宋体" w:hAnsi="宋体" w:cs="宋体"/>
                <w:color w:val="000000"/>
                <w:lang w:bidi="ar"/>
              </w:rPr>
              <w:t xml:space="preserve">响应要求</w:t>
            </w:r>
            <w:r>
              <w:rPr>
                <w:color w:val="000000"/>
              </w:rPr>
            </w:r>
            <w:r/>
          </w:p>
        </w:tc>
        <w:tc>
          <w:tcPr>
            <w:tcMar>
              <w:left w:w="120" w:type="dxa"/>
              <w:top w:w="120" w:type="dxa"/>
              <w:right w:w="120" w:type="dxa"/>
              <w:bottom w:w="120" w:type="dxa"/>
            </w:tcMar>
            <w:tcW w:w="835" w:type="dxa"/>
            <w:vAlign w:val="center"/>
            <w:textDirection w:val="lrTb"/>
            <w:noWrap w:val="false"/>
          </w:tcPr>
          <w:p>
            <w:pPr>
              <w:pStyle w:val="915"/>
              <w:jc w:val="center"/>
              <w:widowControl/>
              <w:rPr>
                <w:color w:val="000000"/>
              </w:rPr>
            </w:pPr>
            <w:r>
              <w:rPr>
                <w:rFonts w:ascii="宋体" w:hAnsi="宋体" w:cs="宋体"/>
                <w:color w:val="000000"/>
                <w:lang w:bidi="ar"/>
              </w:rPr>
              <w:t xml:space="preserve">证明材料</w:t>
            </w:r>
            <w:r>
              <w:rPr>
                <w:color w:val="000000"/>
              </w:rPr>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ascii="宋体" w:hAnsi="宋体" w:cs="宋体"/>
                <w:color w:val="000000"/>
                <w:lang w:bidi="ar"/>
              </w:rPr>
              <w:t xml:space="preserve">实质性要求</w:t>
            </w:r>
            <w:r>
              <w:rPr>
                <w:color w:val="000000"/>
              </w:rPr>
            </w:r>
            <w:r/>
          </w:p>
        </w:tc>
      </w:tr>
      <w:t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投标要求</w:t>
            </w:r>
            <w:r>
              <w:rPr>
                <w:rFonts w:ascii="宋体" w:hAnsi="宋体" w:cs="宋体"/>
                <w:color w:val="000000"/>
                <w:lang w:bidi="ar"/>
              </w:rPr>
            </w:r>
            <w:r/>
          </w:p>
        </w:tc>
        <w:tc>
          <w:tcPr>
            <w:tcMar>
              <w:left w:w="120" w:type="dxa"/>
              <w:top w:w="120" w:type="dxa"/>
              <w:right w:w="120" w:type="dxa"/>
              <w:bottom w:w="120" w:type="dxa"/>
            </w:tcMar>
            <w:tcW w:w="4961"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本项目不可转包、分包、不支持联合体投标。</w:t>
            </w:r>
            <w:r>
              <w:rPr>
                <w:rFonts w:ascii="宋体" w:hAnsi="宋体" w:cs="宋体"/>
                <w:color w:val="000000"/>
                <w:lang w:bidi="ar"/>
              </w:rPr>
            </w:r>
            <w:r/>
          </w:p>
          <w:p>
            <w:pPr>
              <w:pStyle w:val="915"/>
              <w:jc w:val="left"/>
              <w:widowControl/>
              <w:rPr>
                <w:rFonts w:ascii="宋体" w:hAnsi="宋体" w:cs="宋体"/>
                <w:color w:val="000000"/>
                <w:lang w:bidi="ar"/>
              </w:rPr>
            </w:pPr>
            <w:r>
              <w:rPr>
                <w:rFonts w:hint="eastAsia" w:ascii="宋体" w:hAnsi="宋体" w:cs="宋体"/>
                <w:color w:val="000000"/>
                <w:lang w:bidi="ar"/>
              </w:rPr>
              <w:t xml:space="preserve">投标人需出具承诺函并加盖投标人公章。</w:t>
            </w:r>
            <w:r>
              <w:rPr>
                <w:rFonts w:ascii="宋体" w:hAnsi="宋体" w:cs="宋体"/>
                <w:color w:val="000000"/>
                <w:lang w:bidi="ar"/>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ascii="宋体" w:hAnsi="宋体" w:cs="宋体"/>
                <w:color w:val="000000"/>
                <w:lang w:bidi="ar"/>
              </w:rPr>
              <w:t xml:space="preserve">是</w:t>
            </w:r>
            <w:r>
              <w:rPr>
                <w:color w:val="000000"/>
              </w:rPr>
            </w:r>
            <w:r/>
          </w:p>
        </w:tc>
      </w:tr>
      <w:tr>
        <w:trPr/>
        <w:tc>
          <w:tcPr>
            <w:tcW w:w="791" w:type="dxa"/>
            <w:vAlign w:val="center"/>
            <w:textDirection w:val="lrTb"/>
            <w:noWrap w:val="false"/>
          </w:tcPr>
          <w:p>
            <w:pPr>
              <w:pStyle w:val="915"/>
              <w:jc w:val="center"/>
            </w:pPr>
            <w:r>
              <w:rPr>
                <w:rFonts w:hint="eastAsia"/>
              </w:rPr>
              <w:t xml:space="preserve">2</w:t>
            </w:r>
            <w:r/>
          </w:p>
        </w:tc>
        <w:tc>
          <w:tcPr>
            <w:tcMar>
              <w:left w:w="120" w:type="dxa"/>
              <w:top w:w="120" w:type="dxa"/>
              <w:right w:w="120" w:type="dxa"/>
              <w:bottom w:w="120" w:type="dxa"/>
            </w:tcMar>
            <w:tcW w:w="1224" w:type="dxa"/>
            <w:vAlign w:val="center"/>
            <w:textDirection w:val="lrTb"/>
            <w:noWrap w:val="false"/>
          </w:tcPr>
          <w:p>
            <w:pPr>
              <w:pStyle w:val="915"/>
              <w:jc w:val="center"/>
              <w:rPr>
                <w:rFonts w:hint="eastAsia"/>
              </w:rPr>
            </w:pPr>
            <w:r>
              <w:rPr>
                <w:rFonts w:hint="eastAsia"/>
              </w:rPr>
              <w:t xml:space="preserve">报价内容</w:t>
            </w:r>
            <w:r>
              <w:rPr>
                <w:rFonts w:hint="eastAsia"/>
              </w:rPr>
            </w:r>
            <w:r/>
          </w:p>
        </w:tc>
        <w:tc>
          <w:tcPr>
            <w:tcMar>
              <w:left w:w="120" w:type="dxa"/>
              <w:top w:w="120" w:type="dxa"/>
              <w:right w:w="120" w:type="dxa"/>
              <w:bottom w:w="120" w:type="dxa"/>
            </w:tcMar>
            <w:tcW w:w="4961" w:type="dxa"/>
            <w:vAlign w:val="center"/>
            <w:textDirection w:val="lrTb"/>
            <w:noWrap w:val="false"/>
          </w:tcPr>
          <w:p>
            <w:pPr>
              <w:pStyle w:val="915"/>
              <w:jc w:val="left"/>
            </w:pPr>
            <w:r>
              <w:rPr>
                <w:rFonts w:ascii="宋体" w:hAnsi="宋体" w:cs="宋体"/>
                <w:color w:val="000000"/>
                <w:lang w:bidi="ar"/>
              </w:rPr>
              <w:t xml:space="preserve">★</w:t>
            </w:r>
            <w:r>
              <w:rPr>
                <w:rFonts w:hint="eastAsia"/>
              </w:rPr>
              <w:t xml:space="preserve">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p>
          <w:p>
            <w:pPr>
              <w:pStyle w:val="915"/>
              <w:jc w:val="left"/>
              <w:rPr>
                <w:rFonts w:hint="eastAsia"/>
              </w:rPr>
            </w:pPr>
            <w:r>
              <w:rPr>
                <w:rFonts w:hint="eastAsia" w:ascii="宋体" w:hAnsi="宋体" w:cs="宋体"/>
                <w:color w:val="000000"/>
                <w:lang w:bidi="ar"/>
              </w:rPr>
              <w:t xml:space="preserve">投标人需出具承诺函并加盖投标人公章。</w:t>
            </w:r>
            <w:r>
              <w:rPr>
                <w:rFonts w:hint="eastAsia"/>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pPr>
            <w:r>
              <w:rPr>
                <w:rFonts w:hint="eastAsia"/>
              </w:rPr>
              <w:t xml:space="preserve">是</w:t>
            </w:r>
            <w:r/>
          </w:p>
        </w:tc>
      </w:tr>
      <w:t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3</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color w:val="000000"/>
              </w:rPr>
            </w:pPr>
            <w:r>
              <w:rPr>
                <w:rFonts w:ascii="宋体" w:hAnsi="宋体" w:cs="宋体"/>
                <w:color w:val="000000"/>
                <w:lang w:bidi="ar"/>
              </w:rPr>
              <w:t xml:space="preserve">系统权限</w:t>
            </w:r>
            <w:r>
              <w:rPr>
                <w:color w:val="000000"/>
              </w:rPr>
            </w:r>
            <w:r/>
          </w:p>
        </w:tc>
        <w:tc>
          <w:tcPr>
            <w:tcMar>
              <w:left w:w="120" w:type="dxa"/>
              <w:top w:w="120" w:type="dxa"/>
              <w:right w:w="120" w:type="dxa"/>
              <w:bottom w:w="120" w:type="dxa"/>
            </w:tcMar>
            <w:tcW w:w="4961"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★本次招标涉及的系统不能有使用终端数、操作账号数、在线会话数量等限制，不收取任何关于软件的授权、序列号、认证等一切相关的费用。</w:t>
            </w:r>
            <w:r>
              <w:rPr>
                <w:rFonts w:ascii="宋体" w:hAnsi="宋体" w:cs="宋体"/>
                <w:color w:val="000000"/>
                <w:lang w:bidi="ar"/>
              </w:rPr>
            </w:r>
            <w:r/>
          </w:p>
          <w:p>
            <w:pPr>
              <w:pStyle w:val="915"/>
              <w:jc w:val="left"/>
              <w:widowControl/>
              <w:rPr>
                <w:color w:val="000000"/>
              </w:rPr>
            </w:pPr>
            <w:r>
              <w:rPr>
                <w:rFonts w:hint="eastAsia" w:ascii="宋体" w:hAnsi="宋体" w:cs="宋体"/>
                <w:color w:val="000000"/>
                <w:lang w:bidi="ar"/>
              </w:rPr>
              <w:t xml:space="preserve">投标人需出具承诺函并加盖投标人公章。</w:t>
            </w:r>
            <w:r>
              <w:rPr>
                <w:color w:val="000000"/>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ascii="宋体" w:hAnsi="宋体" w:cs="宋体"/>
                <w:color w:val="000000"/>
                <w:lang w:bidi="ar"/>
              </w:rPr>
              <w:t xml:space="preserve">是</w:t>
            </w:r>
            <w:r>
              <w:rPr>
                <w:color w:val="000000"/>
              </w:rPr>
            </w:r>
            <w:r/>
          </w:p>
        </w:tc>
      </w:tr>
      <w:t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4</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驻场服务</w:t>
            </w:r>
            <w:r>
              <w:rPr>
                <w:rFonts w:ascii="宋体" w:hAnsi="宋体" w:cs="宋体"/>
                <w:color w:val="000000"/>
                <w:lang w:bidi="ar"/>
              </w:rPr>
            </w:r>
            <w:r/>
          </w:p>
        </w:tc>
        <w:tc>
          <w:tcPr>
            <w:tcMar>
              <w:left w:w="120" w:type="dxa"/>
              <w:top w:w="120" w:type="dxa"/>
              <w:right w:w="120" w:type="dxa"/>
              <w:bottom w:w="120" w:type="dxa"/>
            </w:tcMar>
            <w:tcW w:w="4961"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本项目需投标人，投标人须派至少一位工程师驻场，提供3年线下驻场维保服务。及时响应甲方所提需求及处理系统出现的各类问题。</w:t>
            </w:r>
            <w:r>
              <w:rPr>
                <w:rFonts w:ascii="宋体" w:hAnsi="宋体" w:cs="宋体"/>
                <w:color w:val="000000"/>
                <w:lang w:bidi="ar"/>
              </w:rPr>
            </w:r>
            <w:r/>
          </w:p>
          <w:p>
            <w:pPr>
              <w:pStyle w:val="915"/>
              <w:jc w:val="left"/>
              <w:widowControl/>
              <w:rPr>
                <w:rFonts w:ascii="宋体" w:hAnsi="宋体" w:cs="宋体"/>
                <w:color w:val="000000"/>
                <w:lang w:bidi="ar"/>
              </w:rPr>
            </w:pPr>
            <w:r>
              <w:rPr>
                <w:rFonts w:hint="eastAsia" w:ascii="宋体" w:hAnsi="宋体" w:cs="宋体"/>
                <w:color w:val="000000"/>
                <w:lang w:bidi="ar"/>
              </w:rPr>
              <w:t xml:space="preserve">投标人需出具质保期内工程师驻场服务承诺函、驻场工程师近3个月内的任意1个月在投标人单位工作的社保证明并加盖投标人公章。</w:t>
            </w:r>
            <w:r>
              <w:rPr>
                <w:rFonts w:ascii="宋体" w:hAnsi="宋体" w:cs="宋体"/>
                <w:color w:val="000000"/>
                <w:lang w:bidi="ar"/>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ascii="宋体" w:hAnsi="宋体" w:cs="宋体"/>
                <w:color w:val="000000"/>
                <w:lang w:bidi="ar"/>
              </w:rPr>
              <w:t xml:space="preserve">是</w:t>
            </w:r>
            <w:r>
              <w:rPr>
                <w:color w:val="000000"/>
              </w:rPr>
            </w:r>
            <w:r/>
          </w:p>
        </w:tc>
      </w:tr>
      <w:t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5</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维保服务</w:t>
            </w:r>
            <w:r>
              <w:rPr>
                <w:rFonts w:ascii="宋体" w:hAnsi="宋体" w:cs="宋体"/>
                <w:color w:val="000000"/>
                <w:lang w:bidi="ar"/>
              </w:rPr>
            </w:r>
            <w:r/>
          </w:p>
        </w:tc>
        <w:tc>
          <w:tcPr>
            <w:tcMar>
              <w:left w:w="120" w:type="dxa"/>
              <w:top w:w="120" w:type="dxa"/>
              <w:right w:w="120" w:type="dxa"/>
              <w:bottom w:w="120" w:type="dxa"/>
            </w:tcMar>
            <w:tcW w:w="4961"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★本次项目中涉及的系统软件须提供验收合格后至少免费三年维保服务；硬件提供3年7*24硬件原厂技术支持与售后服务和3年坏盘不返还服务。</w:t>
            </w:r>
            <w:r>
              <w:rPr>
                <w:rFonts w:ascii="宋体" w:hAnsi="宋体" w:cs="宋体"/>
                <w:color w:val="000000"/>
                <w:lang w:bidi="ar"/>
              </w:rPr>
            </w:r>
            <w:r/>
          </w:p>
          <w:p>
            <w:pPr>
              <w:pStyle w:val="915"/>
              <w:jc w:val="left"/>
              <w:widowControl/>
              <w:rPr>
                <w:color w:val="000000"/>
              </w:rPr>
            </w:pPr>
            <w:r>
              <w:rPr>
                <w:rFonts w:hint="eastAsia" w:ascii="宋体" w:hAnsi="宋体" w:cs="宋体"/>
                <w:color w:val="000000"/>
                <w:lang w:bidi="ar"/>
              </w:rPr>
              <w:t xml:space="preserve">投标人需出具承诺函并加盖投标人公章。</w:t>
            </w:r>
            <w:r>
              <w:rPr>
                <w:color w:val="000000"/>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hint="eastAsia" w:ascii="宋体" w:hAnsi="宋体" w:cs="宋体"/>
                <w:color w:val="000000"/>
                <w:lang w:bidi="ar"/>
              </w:rPr>
              <w:t xml:space="preserve">是</w:t>
            </w:r>
            <w:r>
              <w:rPr>
                <w:color w:val="000000"/>
              </w:rPr>
            </w:r>
            <w:r/>
          </w:p>
        </w:tc>
      </w:tr>
      <w:t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6</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color w:val="000000"/>
              </w:rPr>
            </w:pPr>
            <w:r>
              <w:rPr>
                <w:rFonts w:ascii="宋体" w:hAnsi="宋体" w:cs="宋体"/>
                <w:color w:val="000000"/>
                <w:lang w:bidi="ar"/>
              </w:rPr>
              <w:t xml:space="preserve">信息安全承诺</w:t>
            </w:r>
            <w:r>
              <w:rPr>
                <w:color w:val="000000"/>
              </w:rPr>
            </w:r>
            <w:r/>
          </w:p>
        </w:tc>
        <w:tc>
          <w:tcPr>
            <w:tcMar>
              <w:left w:w="120" w:type="dxa"/>
              <w:top w:w="120" w:type="dxa"/>
              <w:right w:w="120" w:type="dxa"/>
              <w:bottom w:w="120" w:type="dxa"/>
            </w:tcMar>
            <w:tcW w:w="4961"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★系统在运行中如发现有安全漏洞，需24小时之内完成整改。</w:t>
            </w:r>
            <w:r>
              <w:rPr>
                <w:rFonts w:ascii="宋体" w:hAnsi="宋体" w:cs="宋体"/>
                <w:color w:val="000000"/>
                <w:lang w:bidi="ar"/>
              </w:rPr>
            </w:r>
            <w:r/>
          </w:p>
          <w:p>
            <w:pPr>
              <w:pStyle w:val="915"/>
              <w:jc w:val="left"/>
              <w:widowControl/>
              <w:rPr>
                <w:color w:val="000000"/>
              </w:rPr>
            </w:pPr>
            <w:r>
              <w:rPr>
                <w:rFonts w:hint="eastAsia" w:ascii="宋体" w:hAnsi="宋体" w:cs="宋体"/>
                <w:color w:val="000000"/>
                <w:lang w:bidi="ar"/>
              </w:rPr>
              <w:t xml:space="preserve">投标人需出具承诺函并加盖投标人公章。</w:t>
            </w:r>
            <w:r>
              <w:rPr>
                <w:color w:val="000000"/>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ascii="宋体" w:hAnsi="宋体" w:cs="宋体"/>
                <w:color w:val="000000"/>
                <w:lang w:bidi="ar"/>
              </w:rPr>
              <w:t xml:space="preserve">是</w:t>
            </w:r>
            <w:r>
              <w:rPr>
                <w:color w:val="000000"/>
              </w:rPr>
            </w:r>
            <w:r/>
          </w:p>
        </w:tc>
      </w:tr>
      <w:t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7</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售后服务</w:t>
            </w:r>
            <w:r>
              <w:rPr>
                <w:rFonts w:ascii="宋体" w:hAnsi="宋体" w:cs="宋体"/>
                <w:color w:val="000000"/>
                <w:lang w:bidi="ar"/>
              </w:rPr>
            </w:r>
            <w:r/>
          </w:p>
        </w:tc>
        <w:tc>
          <w:tcPr>
            <w:tcMar>
              <w:left w:w="120" w:type="dxa"/>
              <w:top w:w="120" w:type="dxa"/>
              <w:right w:w="120" w:type="dxa"/>
              <w:bottom w:w="120" w:type="dxa"/>
            </w:tcMar>
            <w:tcW w:w="4961"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免费维保期结束后若仍由该投标人维保，则至少有一位工程师驻场维护且每年维保费不高于合同总价的10%，维保期间提供硬件免费包修包换和软件支持服务。</w:t>
            </w:r>
            <w:r>
              <w:rPr>
                <w:rFonts w:ascii="宋体" w:hAnsi="宋体" w:cs="宋体"/>
                <w:color w:val="000000"/>
                <w:lang w:bidi="ar"/>
              </w:rPr>
            </w:r>
            <w:r/>
          </w:p>
          <w:p>
            <w:pPr>
              <w:pStyle w:val="915"/>
              <w:jc w:val="left"/>
              <w:widowControl/>
              <w:rPr>
                <w:rFonts w:ascii="宋体" w:hAnsi="宋体" w:cs="宋体"/>
                <w:color w:val="000000"/>
                <w:lang w:bidi="ar"/>
              </w:rPr>
            </w:pPr>
            <w:r>
              <w:rPr>
                <w:rFonts w:hint="eastAsia" w:ascii="宋体" w:hAnsi="宋体" w:cs="宋体"/>
                <w:color w:val="000000"/>
                <w:lang w:bidi="ar"/>
              </w:rPr>
              <w:t xml:space="preserve">投标人需出具承诺函并加盖投标人公章。</w:t>
            </w:r>
            <w:r>
              <w:rPr>
                <w:rFonts w:ascii="宋体" w:hAnsi="宋体" w:cs="宋体"/>
                <w:color w:val="000000"/>
                <w:lang w:bidi="ar"/>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ascii="宋体" w:hAnsi="宋体" w:cs="宋体"/>
                <w:color w:val="000000"/>
                <w:lang w:bidi="ar"/>
              </w:rPr>
              <w:t xml:space="preserve">是</w:t>
            </w:r>
            <w:r>
              <w:rPr>
                <w:color w:val="000000"/>
              </w:rPr>
            </w:r>
            <w:r/>
          </w:p>
        </w:tc>
      </w:tr>
      <w:t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8</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color w:val="000000"/>
              </w:rPr>
            </w:pPr>
            <w:r>
              <w:rPr>
                <w:rFonts w:ascii="宋体" w:hAnsi="宋体" w:cs="宋体"/>
                <w:color w:val="000000"/>
                <w:lang w:bidi="ar"/>
              </w:rPr>
              <w:t xml:space="preserve">特殊资质</w:t>
            </w:r>
            <w:r>
              <w:rPr>
                <w:color w:val="000000"/>
              </w:rPr>
            </w:r>
            <w:r/>
          </w:p>
        </w:tc>
        <w:tc>
          <w:tcPr>
            <w:tcMar>
              <w:left w:w="120" w:type="dxa"/>
              <w:top w:w="120" w:type="dxa"/>
              <w:right w:w="120" w:type="dxa"/>
              <w:bottom w:w="120" w:type="dxa"/>
            </w:tcMar>
            <w:tcW w:w="4961"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★（1）满足以下两项中任意一项要求： ①供应商为所投产品</w:t>
            </w:r>
            <w:r>
              <w:rPr>
                <w:rFonts w:hint="eastAsia" w:ascii="宋体" w:hAnsi="宋体" w:cs="宋体"/>
                <w:color w:val="000000"/>
                <w:lang w:bidi="ar"/>
              </w:rPr>
              <w:t xml:space="preserve">（输液监控终端）</w:t>
            </w:r>
            <w:r>
              <w:rPr>
                <w:rFonts w:ascii="宋体" w:hAnsi="宋体" w:cs="宋体"/>
                <w:color w:val="000000"/>
                <w:lang w:bidi="ar"/>
              </w:rPr>
              <w:t xml:space="preserve">制造商：具有有效期内的二类医疗器械生产许可证； ②供应商为所投产品</w:t>
            </w:r>
            <w:r>
              <w:rPr>
                <w:rFonts w:hint="eastAsia" w:ascii="宋体" w:hAnsi="宋体" w:cs="宋体"/>
                <w:color w:val="000000"/>
                <w:lang w:bidi="ar"/>
              </w:rPr>
              <w:t xml:space="preserve">（输液监控终端）</w:t>
            </w:r>
            <w:r>
              <w:rPr>
                <w:rFonts w:ascii="宋体" w:hAnsi="宋体" w:cs="宋体"/>
                <w:color w:val="000000"/>
                <w:lang w:bidi="ar"/>
              </w:rPr>
              <w:t xml:space="preserve">经销商：具有有效期内的二类医疗器械经营备案凭证或医疗器械经营许可证；</w:t>
            </w:r>
            <w:r>
              <w:rPr>
                <w:rFonts w:ascii="宋体" w:hAnsi="宋体" w:cs="宋体"/>
                <w:color w:val="000000"/>
                <w:lang w:bidi="ar"/>
              </w:rPr>
            </w:r>
            <w:r/>
          </w:p>
          <w:p>
            <w:pPr>
              <w:pStyle w:val="915"/>
              <w:jc w:val="left"/>
              <w:widowControl/>
              <w:rPr>
                <w:color w:val="000000"/>
              </w:rPr>
            </w:pPr>
            <w:r>
              <w:rPr>
                <w:rFonts w:ascii="宋体" w:hAnsi="宋体" w:cs="宋体"/>
                <w:color w:val="000000"/>
                <w:lang w:bidi="ar"/>
              </w:rPr>
              <w:t xml:space="preserve">（2）提供所投产品（输液监控</w:t>
            </w:r>
            <w:r>
              <w:rPr>
                <w:rFonts w:hint="eastAsia" w:ascii="宋体" w:hAnsi="宋体" w:cs="宋体"/>
                <w:color w:val="000000"/>
                <w:lang w:bidi="ar"/>
              </w:rPr>
              <w:t xml:space="preserve">终端</w:t>
            </w:r>
            <w:r>
              <w:rPr>
                <w:rFonts w:ascii="宋体" w:hAnsi="宋体" w:cs="宋体"/>
                <w:color w:val="000000"/>
                <w:lang w:bidi="ar"/>
              </w:rPr>
              <w:t xml:space="preserve">）的有效医疗器械注册证。</w:t>
            </w:r>
            <w:r>
              <w:rPr>
                <w:color w:val="000000"/>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ascii="宋体" w:hAnsi="宋体" w:cs="宋体"/>
                <w:color w:val="000000"/>
                <w:lang w:bidi="ar"/>
              </w:rPr>
              <w:t xml:space="preserve">是</w:t>
            </w:r>
            <w:r>
              <w:rPr>
                <w:color w:val="000000"/>
              </w:rPr>
            </w:r>
            <w:r/>
          </w:p>
        </w:tc>
      </w:tr>
      <w:tr>
        <w:trPr/>
        <w:tc>
          <w:tcPr>
            <w:tcW w:w="7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9</w:t>
            </w:r>
            <w:r>
              <w:rPr>
                <w:rFonts w:ascii="宋体" w:hAnsi="宋体" w:cs="宋体"/>
                <w:color w:val="000000"/>
                <w:lang w:bidi="ar"/>
              </w:rPr>
            </w:r>
            <w:r/>
          </w:p>
        </w:tc>
        <w:tc>
          <w:tcPr>
            <w:tcMar>
              <w:left w:w="120" w:type="dxa"/>
              <w:top w:w="120" w:type="dxa"/>
              <w:right w:w="120" w:type="dxa"/>
              <w:bottom w:w="120" w:type="dxa"/>
            </w:tcMar>
            <w:tcW w:w="1224" w:type="dxa"/>
            <w:vAlign w:val="center"/>
            <w:textDirection w:val="lrTb"/>
            <w:noWrap w:val="false"/>
          </w:tcPr>
          <w:p>
            <w:pPr>
              <w:pStyle w:val="915"/>
              <w:jc w:val="center"/>
              <w:widowControl/>
              <w:rPr>
                <w:color w:val="000000"/>
              </w:rPr>
            </w:pPr>
            <w:r>
              <w:rPr>
                <w:rFonts w:ascii="宋体" w:hAnsi="宋体" w:cs="宋体"/>
                <w:color w:val="000000"/>
                <w:lang w:bidi="ar"/>
              </w:rPr>
              <w:t xml:space="preserve">产品承诺</w:t>
            </w:r>
            <w:r>
              <w:rPr>
                <w:color w:val="000000"/>
              </w:rPr>
            </w:r>
            <w:r/>
          </w:p>
        </w:tc>
        <w:tc>
          <w:tcPr>
            <w:tcMar>
              <w:left w:w="120" w:type="dxa"/>
              <w:top w:w="120" w:type="dxa"/>
              <w:right w:w="120" w:type="dxa"/>
              <w:bottom w:w="120" w:type="dxa"/>
            </w:tcMar>
            <w:tcW w:w="4961"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投标人承诺所供产品满足产品清单中的类别和数量要求</w:t>
            </w:r>
            <w:r>
              <w:rPr>
                <w:rFonts w:ascii="宋体" w:hAnsi="宋体" w:cs="宋体"/>
                <w:color w:val="000000"/>
                <w:lang w:bidi="ar"/>
              </w:rPr>
              <w:t xml:space="preserve">。</w:t>
            </w:r>
            <w:r>
              <w:rPr>
                <w:rFonts w:ascii="宋体" w:hAnsi="宋体" w:cs="宋体"/>
                <w:color w:val="000000"/>
                <w:lang w:bidi="ar"/>
              </w:rPr>
            </w:r>
            <w:r/>
          </w:p>
          <w:p>
            <w:pPr>
              <w:pStyle w:val="915"/>
              <w:jc w:val="left"/>
              <w:widowControl/>
              <w:rPr>
                <w:color w:val="000000"/>
              </w:rPr>
            </w:pPr>
            <w:r>
              <w:rPr>
                <w:rFonts w:hint="eastAsia" w:ascii="宋体" w:hAnsi="宋体" w:cs="宋体"/>
                <w:color w:val="000000"/>
                <w:lang w:bidi="ar"/>
              </w:rPr>
              <w:t xml:space="preserve">投标人需出具承诺函并加盖投标人公章。</w:t>
            </w:r>
            <w:r>
              <w:rPr>
                <w:color w:val="000000"/>
              </w:rPr>
            </w:r>
            <w:r/>
          </w:p>
        </w:tc>
        <w:tc>
          <w:tcPr>
            <w:tcMar>
              <w:left w:w="120" w:type="dxa"/>
              <w:top w:w="120" w:type="dxa"/>
              <w:right w:w="120" w:type="dxa"/>
              <w:bottom w:w="120" w:type="dxa"/>
            </w:tcMar>
            <w:tcW w:w="835" w:type="dxa"/>
            <w:vAlign w:val="center"/>
            <w:textDirection w:val="lrTb"/>
            <w:noWrap w:val="false"/>
          </w:tcPr>
          <w:p>
            <w:pPr>
              <w:pStyle w:val="915"/>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pStyle w:val="915"/>
              <w:jc w:val="center"/>
              <w:widowControl/>
              <w:rPr>
                <w:color w:val="000000"/>
              </w:rPr>
            </w:pPr>
            <w:r>
              <w:rPr>
                <w:rFonts w:hint="eastAsia" w:ascii="宋体" w:hAnsi="宋体" w:cs="宋体"/>
                <w:color w:val="000000"/>
                <w:lang w:bidi="ar"/>
              </w:rPr>
              <w:t xml:space="preserve">是</w:t>
            </w:r>
            <w:r>
              <w:rPr>
                <w:color w:val="000000"/>
              </w:rPr>
            </w:r>
            <w:r/>
          </w:p>
        </w:tc>
      </w:tr>
    </w:tbl>
    <w:p>
      <w:pPr>
        <w:pStyle w:val="915"/>
        <w:ind w:firstLine="274"/>
        <w:rPr>
          <w:rFonts w:hint="eastAsia"/>
          <w:i/>
          <w:sz w:val="28"/>
          <w:szCs w:val="28"/>
          <w:u w:val="single"/>
        </w:rPr>
      </w:pPr>
      <w:r>
        <w:rPr>
          <w:rFonts w:hint="eastAsia"/>
          <w:i/>
          <w:sz w:val="28"/>
          <w:szCs w:val="28"/>
          <w:u w:val="single"/>
        </w:rPr>
      </w:r>
      <w:r/>
    </w:p>
    <w:p>
      <w:pPr>
        <w:pStyle w:val="915"/>
        <w:rPr>
          <w:rFonts w:hint="eastAsia"/>
          <w:sz w:val="24"/>
          <w:highlight w:val="yellow"/>
        </w:rPr>
      </w:pPr>
      <w:r>
        <w:rPr>
          <w:rFonts w:hint="eastAsia"/>
          <w:sz w:val="24"/>
          <w:highlight w:val="yellow"/>
        </w:rPr>
      </w:r>
      <w:r/>
    </w:p>
    <w:p>
      <w:pPr>
        <w:pStyle w:val="915"/>
        <w:rPr>
          <w:rFonts w:hint="eastAsia"/>
          <w:color w:val="000000"/>
          <w:sz w:val="24"/>
        </w:rPr>
      </w:pPr>
      <w:r>
        <w:rPr>
          <w:rFonts w:hint="eastAsia"/>
          <w:sz w:val="24"/>
        </w:rPr>
        <w:t xml:space="preserve">6. </w:t>
      </w:r>
      <w:r>
        <w:rPr>
          <w:rFonts w:hint="eastAsia"/>
          <w:color w:val="000000"/>
          <w:sz w:val="24"/>
        </w:rPr>
        <w:t xml:space="preserve">演示</w:t>
      </w:r>
      <w:r>
        <w:rPr>
          <w:rFonts w:hint="eastAsia"/>
          <w:color w:val="000000"/>
          <w:sz w:val="24"/>
        </w:rPr>
      </w:r>
      <w:r/>
    </w:p>
    <w:p>
      <w:pPr>
        <w:pStyle w:val="915"/>
        <w:ind w:firstLine="480"/>
        <w:rPr>
          <w:rFonts w:hint="eastAsia"/>
          <w:sz w:val="24"/>
        </w:rPr>
      </w:pPr>
      <w:r>
        <w:rPr>
          <w:rFonts w:hint="eastAsia"/>
          <w:sz w:val="24"/>
        </w:rPr>
        <w:t xml:space="preserve">上传演示视频的形式</w:t>
      </w:r>
      <w:r>
        <w:rPr>
          <w:rFonts w:hint="eastAsia"/>
          <w:sz w:val="24"/>
        </w:rPr>
      </w:r>
      <w:r/>
    </w:p>
    <w:p>
      <w:pPr>
        <w:pStyle w:val="915"/>
        <w:ind w:firstLine="480"/>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rPr>
      </w:r>
      <w:r/>
    </w:p>
    <w:p>
      <w:pPr>
        <w:pStyle w:val="915"/>
        <w:ind w:firstLine="480"/>
        <w:rPr>
          <w:rFonts w:hint="eastAsia" w:ascii="宋体" w:hAnsi="宋体"/>
          <w:sz w:val="24"/>
        </w:rPr>
      </w:pPr>
      <w:r>
        <w:rPr>
          <w:rFonts w:hint="eastAsia" w:ascii="宋体" w:hAnsi="宋体"/>
          <w:sz w:val="24"/>
        </w:rPr>
        <w:t xml:space="preserve">（2）演示内容如下：</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58"/>
        <w:gridCol w:w="6516"/>
      </w:tblGrid>
      <w:tr>
        <w:trPr>
          <w:cantSplit/>
        </w:trPr>
        <w:tc>
          <w:tcPr>
            <w:tcW w:w="734" w:type="dxa"/>
            <w:vAlign w:val="center"/>
            <w:textDirection w:val="lrTb"/>
            <w:noWrap w:val="false"/>
          </w:tcPr>
          <w:p>
            <w:pPr>
              <w:pStyle w:val="915"/>
              <w:jc w:val="center"/>
              <w:rPr>
                <w:rFonts w:ascii="宋体" w:hAnsi="宋体"/>
                <w:b/>
                <w:bCs/>
                <w:color w:val="000000"/>
                <w:sz w:val="24"/>
              </w:rPr>
            </w:pPr>
            <w:r>
              <w:rPr>
                <w:rFonts w:hint="eastAsia" w:ascii="宋体" w:hAnsi="宋体"/>
                <w:b/>
                <w:bCs/>
                <w:color w:val="000000"/>
                <w:sz w:val="24"/>
              </w:rPr>
              <w:t xml:space="preserve">序号</w:t>
            </w:r>
            <w:r>
              <w:rPr>
                <w:rFonts w:ascii="宋体" w:hAnsi="宋体"/>
                <w:b/>
                <w:bCs/>
                <w:color w:val="000000"/>
                <w:sz w:val="24"/>
              </w:rPr>
            </w:r>
            <w:r/>
          </w:p>
        </w:tc>
        <w:tc>
          <w:tcPr>
            <w:tcW w:w="1258" w:type="dxa"/>
            <w:vAlign w:val="center"/>
            <w:textDirection w:val="lrTb"/>
            <w:noWrap w:val="false"/>
          </w:tcPr>
          <w:p>
            <w:pPr>
              <w:pStyle w:val="915"/>
              <w:jc w:val="center"/>
              <w:rPr>
                <w:rFonts w:ascii="宋体" w:hAnsi="宋体"/>
                <w:b/>
                <w:bCs/>
                <w:color w:val="000000"/>
                <w:sz w:val="24"/>
              </w:rPr>
            </w:pPr>
            <w:r>
              <w:rPr>
                <w:rFonts w:hint="eastAsia" w:ascii="宋体" w:hAnsi="宋体"/>
                <w:b/>
                <w:bCs/>
                <w:color w:val="000000"/>
                <w:sz w:val="24"/>
              </w:rPr>
              <w:t xml:space="preserve">功能类别</w:t>
            </w:r>
            <w:r>
              <w:rPr>
                <w:rFonts w:ascii="宋体" w:hAnsi="宋体"/>
                <w:b/>
                <w:bCs/>
                <w:color w:val="000000"/>
                <w:sz w:val="24"/>
              </w:rPr>
            </w:r>
            <w:r/>
          </w:p>
        </w:tc>
        <w:tc>
          <w:tcPr>
            <w:tcW w:w="6516" w:type="dxa"/>
            <w:vAlign w:val="center"/>
            <w:textDirection w:val="lrTb"/>
            <w:noWrap w:val="false"/>
          </w:tcPr>
          <w:p>
            <w:pPr>
              <w:pStyle w:val="915"/>
              <w:jc w:val="center"/>
              <w:rPr>
                <w:rFonts w:ascii="宋体" w:hAnsi="宋体"/>
                <w:b/>
                <w:bCs/>
                <w:color w:val="000000"/>
                <w:sz w:val="24"/>
              </w:rPr>
            </w:pPr>
            <w:r>
              <w:rPr>
                <w:rFonts w:hint="eastAsia" w:ascii="宋体" w:hAnsi="宋体"/>
                <w:b/>
                <w:bCs/>
                <w:color w:val="000000"/>
                <w:sz w:val="24"/>
              </w:rPr>
              <w:t xml:space="preserve">功能要求</w:t>
            </w:r>
            <w:r>
              <w:rPr>
                <w:rFonts w:ascii="宋体" w:hAnsi="宋体"/>
                <w:b/>
                <w:bCs/>
                <w:color w:val="000000"/>
                <w:sz w:val="24"/>
              </w:rPr>
            </w:r>
            <w:r/>
          </w:p>
        </w:tc>
      </w:tr>
      <w:tr>
        <w:trPr>
          <w:cantSplit/>
          <w:trHeight w:val="291"/>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医护终端主机</w:t>
            </w:r>
            <w:r>
              <w:rPr>
                <w:rFonts w:ascii="宋体" w:hAnsi="宋体" w:cs="宋体"/>
                <w:bCs/>
                <w:color w:val="000000"/>
                <w:sz w:val="20"/>
                <w:szCs w:val="20"/>
                <w:lang w:bidi="ar"/>
              </w:rPr>
            </w:r>
            <w:r/>
          </w:p>
        </w:tc>
        <w:tc>
          <w:tcPr>
            <w:tcW w:w="6516" w:type="dxa"/>
            <w:vAlign w:val="center"/>
            <w:textDirection w:val="lrTb"/>
            <w:noWrap w:val="false"/>
          </w:tcPr>
          <w:p>
            <w:pPr>
              <w:pStyle w:val="915"/>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◆考虑医院场景下院感要求，需演示主机采用全触控屏，正面无任何物理按键；通话手柄采用电磁感应设计，无外漏麦克风，无传统话机机械装置；考虑到隐私保护，视频对讲时，医护主机摄像头有指示灯提醒。</w:t>
            </w:r>
            <w:r>
              <w:rPr>
                <w:rFonts w:ascii="宋体" w:hAnsi="宋体" w:cs="宋体"/>
                <w:bCs/>
                <w:color w:val="000000"/>
                <w:sz w:val="20"/>
                <w:szCs w:val="20"/>
                <w:lang w:bidi="ar"/>
              </w:rPr>
            </w:r>
            <w:r/>
          </w:p>
        </w:tc>
      </w:tr>
      <w:tr>
        <w:trPr>
          <w:cantSplit/>
          <w:trHeight w:val="235"/>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医用床头终端分机</w:t>
            </w:r>
            <w:r>
              <w:rPr>
                <w:rFonts w:ascii="宋体" w:hAnsi="宋体" w:cs="宋体"/>
                <w:bCs/>
                <w:color w:val="000000"/>
                <w:sz w:val="20"/>
                <w:szCs w:val="20"/>
                <w:lang w:bidi="ar"/>
              </w:rPr>
            </w:r>
            <w:r/>
          </w:p>
        </w:tc>
        <w:tc>
          <w:tcPr>
            <w:tcW w:w="6516" w:type="dxa"/>
            <w:vAlign w:val="center"/>
            <w:textDirection w:val="lrTb"/>
            <w:noWrap w:val="false"/>
          </w:tcPr>
          <w:p>
            <w:pPr>
              <w:pStyle w:val="915"/>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分机采用全触屏设计，正面无任何物理按键，以符合院感要求；多功能呼叫手柄具备物理呼叫按键、物理换药按键、物理取消按键、具备LED灯、物理熄屏按键，出音方式为下方出音，以防灰尘异物等进入喇叭，也便于设备的消毒清洁。</w:t>
            </w:r>
            <w:r>
              <w:rPr>
                <w:rFonts w:ascii="宋体" w:hAnsi="宋体" w:cs="宋体"/>
                <w:bCs/>
                <w:color w:val="000000"/>
                <w:sz w:val="20"/>
                <w:szCs w:val="20"/>
                <w:lang w:bidi="ar"/>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cs="宋体"/>
                <w:bCs/>
                <w:color w:val="000000"/>
                <w:sz w:val="20"/>
                <w:szCs w:val="20"/>
              </w:rPr>
            </w:pPr>
            <w:r>
              <w:rPr>
                <w:rFonts w:hint="eastAsia" w:ascii="宋体" w:hAnsi="宋体" w:cs="宋体"/>
                <w:bCs/>
                <w:color w:val="000000"/>
                <w:sz w:val="20"/>
                <w:szCs w:val="20"/>
                <w:lang w:bidi="ar"/>
              </w:rPr>
              <w:t xml:space="preserve">医用门口终端分机</w:t>
            </w:r>
            <w:r>
              <w:rPr>
                <w:rFonts w:ascii="宋体" w:hAnsi="宋体" w:cs="宋体"/>
                <w:bCs/>
                <w:color w:val="000000"/>
                <w:sz w:val="20"/>
                <w:szCs w:val="20"/>
              </w:rPr>
            </w:r>
            <w:r/>
          </w:p>
        </w:tc>
        <w:tc>
          <w:tcPr>
            <w:tcW w:w="6516" w:type="dxa"/>
            <w:vAlign w:val="center"/>
            <w:textDirection w:val="lrTb"/>
            <w:noWrap w:val="false"/>
          </w:tcPr>
          <w:p>
            <w:pPr>
              <w:pStyle w:val="915"/>
              <w:jc w:val="left"/>
              <w:widowControl/>
              <w:rPr>
                <w:rFonts w:ascii="宋体" w:hAnsi="宋体" w:cs="宋体"/>
                <w:bCs/>
                <w:color w:val="000000"/>
                <w:sz w:val="20"/>
                <w:szCs w:val="20"/>
              </w:rPr>
            </w:pPr>
            <w:r>
              <w:rPr>
                <w:rFonts w:hint="eastAsia" w:ascii="宋体" w:hAnsi="宋体" w:cs="宋体"/>
                <w:bCs/>
                <w:color w:val="000000"/>
                <w:sz w:val="20"/>
                <w:szCs w:val="20"/>
                <w:lang w:bidi="ar"/>
              </w:rPr>
              <w:t xml:space="preserve">◆具有护士定位按键：护士可通过门口机进行护士定位，当该房间无床位呼叫时走廊屏显示护士所在房间，多房间有护士进入时，走廊屏可显示多个护士所在房间；分机内置一体化门灯，门灯位于分机两侧，每侧门灯长度≥80mm，支持颜色≥7色，同时进行声音提示。 </w:t>
            </w:r>
            <w:r>
              <w:rPr>
                <w:rFonts w:ascii="宋体" w:hAnsi="宋体" w:cs="宋体"/>
                <w:bCs/>
                <w:color w:val="000000"/>
                <w:sz w:val="20"/>
                <w:szCs w:val="20"/>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cs="宋体"/>
                <w:bCs/>
                <w:color w:val="000000"/>
                <w:sz w:val="20"/>
                <w:szCs w:val="20"/>
              </w:rPr>
            </w:pPr>
            <w:r>
              <w:rPr>
                <w:rFonts w:hint="eastAsia" w:ascii="宋体" w:hAnsi="宋体" w:cs="宋体"/>
                <w:bCs/>
                <w:color w:val="000000"/>
                <w:sz w:val="20"/>
                <w:szCs w:val="20"/>
                <w:lang w:bidi="ar"/>
              </w:rPr>
              <w:t xml:space="preserve">医用床旁交互终端分机</w:t>
            </w:r>
            <w:r>
              <w:rPr>
                <w:rFonts w:ascii="宋体" w:hAnsi="宋体" w:cs="宋体"/>
                <w:bCs/>
                <w:color w:val="000000"/>
                <w:sz w:val="20"/>
                <w:szCs w:val="20"/>
              </w:rPr>
            </w:r>
            <w:r/>
          </w:p>
        </w:tc>
        <w:tc>
          <w:tcPr>
            <w:tcW w:w="6516" w:type="dxa"/>
            <w:vAlign w:val="center"/>
            <w:textDirection w:val="lrTb"/>
            <w:noWrap w:val="false"/>
          </w:tcPr>
          <w:p>
            <w:pPr>
              <w:pStyle w:val="915"/>
              <w:jc w:val="left"/>
              <w:widowControl/>
              <w:rPr>
                <w:rFonts w:ascii="宋体" w:hAnsi="宋体" w:cs="宋体"/>
                <w:bCs/>
                <w:color w:val="000000"/>
                <w:sz w:val="20"/>
                <w:szCs w:val="20"/>
              </w:rPr>
            </w:pPr>
            <w:r>
              <w:rPr>
                <w:rFonts w:hint="eastAsia" w:ascii="宋体" w:hAnsi="宋体" w:cs="宋体"/>
                <w:bCs/>
                <w:color w:val="000000"/>
                <w:sz w:val="20"/>
                <w:szCs w:val="20"/>
                <w:lang w:bidi="ar"/>
              </w:rPr>
              <w:t xml:space="preserve">◆为符合医院院感需求，分机正面应为纯平面设计，方便消毒清洁；接通护士站可视对讲主机呼叫时，两侧有护理指示灯进行提示，两侧指示灯长度均≥80mm，便于进行声光提示。</w:t>
            </w:r>
            <w:r>
              <w:rPr>
                <w:rFonts w:ascii="宋体" w:hAnsi="宋体" w:cs="宋体"/>
                <w:bCs/>
                <w:color w:val="000000"/>
                <w:sz w:val="20"/>
                <w:szCs w:val="20"/>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5</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多路通话保持演示</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通话保持功能演示</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◆在WEB页面端，以科室单元进行配置，配置通话保持数量应≥5路分机；不少于5个床头分机依次发起呼叫，在护士站主机端可依次接听，且在接通1路通话的同时保持其余4路，并依次恢复通话。</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7</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音视频互换</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◆床头分机与护士站主机在进行语音/视频通话时，两端都能主动进行语音和视频之间转换，且不中断当前通话。</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隐私通话</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◆护士站主机视频通话时可控制是否对方看到本机画面隐私通话，隐私通话开启后床头分机无法看到护士站主机画面；同时也支持在通话过程中关闭隐私通话。</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9</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通话优先级</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◆支持床头分机、卫生间分机与护士站主机通话时，通话优先级打断(根据预先设置的优先级),高等级通话可以打断低等级通话。</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10</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红外感应演示</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◆在床头分机前，屏幕可通过红外感应亮起，以供护士查看内容；红外模组可识别患者离开后，自动息屏。</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11</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AI输液识别</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12</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病房电视</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◆可在病房电视通过患者鉴权信息查看自己的检查检验信息、费用信息和专属宣教视频。</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13</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无感巡视</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◆系统具备无感护理巡视记录与导出功能，护士佩戴胸卡进入房间护理时自动记录时间与床位，无需做任何护理外动作，护士站大屏可展示护士所在房间等相关信息。</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14</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AI语音转文字功能</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◆护士站主机与床旁分机通话时，护士站主机可实时将患者通话语音内容通过文字方式进行展示。</w:t>
            </w:r>
            <w:r>
              <w:rPr>
                <w:rFonts w:ascii="宋体" w:hAnsi="宋体"/>
                <w:bCs/>
                <w:color w:val="000000"/>
                <w:sz w:val="24"/>
              </w:rPr>
            </w:r>
            <w:r/>
          </w:p>
        </w:tc>
      </w:tr>
      <w:tr>
        <w:trPr>
          <w:cantSplit/>
          <w:trHeight w:val="222"/>
        </w:trPr>
        <w:tc>
          <w:tcPr>
            <w:tcW w:w="734" w:type="dxa"/>
            <w:vAlign w:val="center"/>
            <w:textDirection w:val="lrTb"/>
            <w:noWrap w:val="false"/>
          </w:tcPr>
          <w:p>
            <w:pPr>
              <w:pStyle w:val="915"/>
              <w:jc w:val="center"/>
              <w:rPr>
                <w:rFonts w:ascii="宋体" w:hAnsi="宋体"/>
                <w:bCs/>
                <w:color w:val="000000"/>
                <w:sz w:val="24"/>
              </w:rPr>
            </w:pPr>
            <w:r>
              <w:rPr>
                <w:rFonts w:hint="eastAsia" w:ascii="宋体" w:hAnsi="宋体"/>
                <w:bCs/>
                <w:color w:val="000000"/>
                <w:sz w:val="24"/>
              </w:rPr>
              <w:t xml:space="preserve">15</w:t>
            </w:r>
            <w:r>
              <w:rPr>
                <w:rFonts w:ascii="宋体" w:hAnsi="宋体"/>
                <w:bCs/>
                <w:color w:val="000000"/>
                <w:sz w:val="24"/>
              </w:rPr>
            </w:r>
            <w:r/>
          </w:p>
        </w:tc>
        <w:tc>
          <w:tcPr>
            <w:tcW w:w="1258" w:type="dxa"/>
            <w:vAlign w:val="center"/>
            <w:textDirection w:val="lrTb"/>
            <w:noWrap w:val="false"/>
          </w:tcPr>
          <w:p>
            <w:pPr>
              <w:pStyle w:val="915"/>
              <w:jc w:val="center"/>
              <w:widowControl/>
              <w:rPr>
                <w:rFonts w:ascii="宋体" w:hAnsi="宋体"/>
                <w:bCs/>
                <w:color w:val="000000"/>
                <w:sz w:val="24"/>
              </w:rPr>
            </w:pPr>
            <w:r>
              <w:rPr>
                <w:rFonts w:hint="eastAsia" w:ascii="宋体" w:hAnsi="宋体" w:cs="宋体"/>
                <w:bCs/>
                <w:color w:val="000000"/>
                <w:sz w:val="20"/>
                <w:szCs w:val="20"/>
                <w:lang w:bidi="ar"/>
              </w:rPr>
              <w:t xml:space="preserve">医用床旁交互系统</w:t>
            </w:r>
            <w:r>
              <w:rPr>
                <w:rFonts w:ascii="宋体" w:hAnsi="宋体"/>
                <w:bCs/>
                <w:color w:val="000000"/>
                <w:sz w:val="24"/>
              </w:rPr>
            </w:r>
            <w:r/>
          </w:p>
        </w:tc>
        <w:tc>
          <w:tcPr>
            <w:tcW w:w="6516" w:type="dxa"/>
            <w:vAlign w:val="center"/>
            <w:textDirection w:val="lrTb"/>
            <w:noWrap w:val="false"/>
          </w:tcPr>
          <w:p>
            <w:pPr>
              <w:pStyle w:val="915"/>
              <w:jc w:val="left"/>
              <w:widowControl/>
              <w:rPr>
                <w:rFonts w:ascii="宋体" w:hAnsi="宋体"/>
                <w:bCs/>
                <w:color w:val="000000"/>
                <w:sz w:val="24"/>
              </w:rPr>
            </w:pPr>
            <w:r>
              <w:rPr>
                <w:rFonts w:hint="eastAsia" w:ascii="宋体" w:hAnsi="宋体" w:cs="宋体"/>
                <w:bCs/>
                <w:color w:val="000000"/>
                <w:sz w:val="20"/>
                <w:szCs w:val="20"/>
                <w:lang w:bidi="ar"/>
              </w:rPr>
              <w:t xml:space="preserve">◆医用床旁交互系统：能够对接人工智能平台，具备语音识别技术，实现不触碰设备，语音启用呼叫、换药等功能。</w:t>
            </w:r>
            <w:r>
              <w:rPr>
                <w:rFonts w:ascii="宋体" w:hAnsi="宋体"/>
                <w:bCs/>
                <w:color w:val="000000"/>
                <w:sz w:val="24"/>
              </w:rPr>
            </w:r>
            <w:r/>
          </w:p>
        </w:tc>
      </w:tr>
    </w:tbl>
    <w:p>
      <w:pPr>
        <w:pStyle w:val="915"/>
        <w:rPr>
          <w:rFonts w:hint="eastAsia" w:ascii="宋体" w:hAnsi="宋体"/>
          <w:sz w:val="24"/>
        </w:rPr>
      </w:pPr>
      <w:r>
        <w:rPr>
          <w:rFonts w:hint="eastAsia" w:ascii="宋体" w:hAnsi="宋体"/>
          <w:sz w:val="24"/>
        </w:rPr>
      </w:r>
      <w:r/>
    </w:p>
    <w:p>
      <w:pPr>
        <w:pStyle w:val="915"/>
        <w:rPr>
          <w:rFonts w:hint="eastAsia" w:ascii="宋体" w:hAnsi="宋体"/>
          <w:sz w:val="24"/>
        </w:rPr>
      </w:pPr>
      <w:r>
        <w:rPr>
          <w:rFonts w:hint="eastAsia" w:ascii="宋体" w:hAnsi="宋体"/>
          <w:sz w:val="24"/>
        </w:rPr>
        <w:t xml:space="preserve">7.采购标的对应的中小企业划分标准所属行业一览表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5"/>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1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1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5"/>
              <w:jc w:val="center"/>
              <w:rPr>
                <w:rFonts w:ascii="宋体" w:hAnsi="宋体"/>
                <w:sz w:val="24"/>
              </w:rPr>
            </w:pPr>
            <w:r>
              <w:rPr>
                <w:rFonts w:hint="eastAsia" w:ascii="宋体" w:hAnsi="宋体"/>
                <w:sz w:val="24"/>
              </w:rPr>
              <w:t xml:space="preserve">医院智慧病房二期建设项目</w:t>
            </w:r>
            <w:r>
              <w:rPr>
                <w:rFonts w:ascii="宋体" w:hAnsi="宋体"/>
                <w:sz w:val="24"/>
              </w:rPr>
            </w:r>
            <w:r/>
          </w:p>
        </w:tc>
        <w:tc>
          <w:tcPr>
            <w:tcW w:w="2852" w:type="dxa"/>
            <w:vAlign w:val="top"/>
            <w:textDirection w:val="lrTb"/>
            <w:noWrap w:val="false"/>
          </w:tcPr>
          <w:p>
            <w:pPr>
              <w:pStyle w:val="915"/>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1024"/>
        <w:ind w:left="0"/>
        <w:rPr>
          <w:rFonts w:hint="eastAsia" w:ascii="Times New Roman" w:hAnsi="Times New Roman"/>
          <w:lang w:eastAsia="zh-CN"/>
        </w:rPr>
      </w:pPr>
      <w:r>
        <w:rPr>
          <w:rFonts w:hint="eastAsia" w:ascii="Times New Roman" w:hAnsi="Times New Roman"/>
          <w:lang w:eastAsia="zh-CN"/>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rPr>
      </w:pPr>
      <w:r/>
      <w:bookmarkStart w:id="205" w:name="_Toc26724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915"/>
        <w:rPr>
          <w:rFonts w:hint="eastAsia"/>
        </w:rPr>
      </w:pPr>
      <w:r>
        <w:rPr>
          <w:rFonts w:hint="eastAsia"/>
        </w:rPr>
      </w:r>
      <w:r/>
    </w:p>
    <w:p>
      <w:pPr>
        <w:pStyle w:val="1023"/>
        <w:ind w:firstLine="439"/>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1023"/>
        <w:ind w:firstLine="441"/>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23"/>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1023"/>
        <w:ind w:firstLine="360"/>
        <w:spacing w:before="0" w:after="0" w:line="240" w:lineRule="auto"/>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1023"/>
        <w:ind w:firstLine="36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23"/>
        <w:ind w:firstLine="36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23"/>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1023"/>
        <w:ind w:left="120" w:firstLine="36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23"/>
        <w:ind w:left="120" w:firstLine="36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23"/>
        <w:ind w:left="120" w:firstLine="36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23"/>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1023"/>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23"/>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23"/>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23"/>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23"/>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023"/>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023"/>
        <w:spacing w:before="0" w:after="0" w:line="240" w:lineRule="auto"/>
        <w:rPr>
          <w:rFonts w:hint="eastAsia" w:ascii="宋体" w:hAnsi="宋体"/>
        </w:rPr>
      </w:pPr>
      <w:r>
        <w:rPr>
          <w:rFonts w:hint="eastAsia" w:ascii="宋体" w:hAnsi="宋体"/>
        </w:rPr>
      </w:r>
      <w:r/>
    </w:p>
    <w:p>
      <w:pPr>
        <w:pStyle w:val="1023"/>
        <w:ind w:firstLine="482"/>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744"/>
        <w:gridCol w:w="1291"/>
        <w:gridCol w:w="3939"/>
        <w:gridCol w:w="718"/>
        <w:gridCol w:w="720"/>
        <w:gridCol w:w="866"/>
        <w:gridCol w:w="916"/>
      </w:tblGrid>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15"/>
              <w:jc w:val="center"/>
              <w:widowControl/>
              <w:rPr>
                <w:rFonts w:ascii="宋体" w:hAnsi="宋体" w:cs="宋体"/>
                <w:b/>
                <w:color w:val="000000"/>
              </w:rPr>
            </w:pPr>
            <w:r>
              <w:rPr>
                <w:rFonts w:hint="eastAsia" w:ascii="宋体" w:hAnsi="宋体" w:cs="宋体"/>
                <w:b/>
                <w:bCs/>
                <w:color w:val="000000"/>
              </w:rPr>
              <w:t xml:space="preserve">评分因素</w:t>
            </w: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rFonts w:ascii="宋体" w:hAnsi="宋体" w:cs="宋体"/>
                <w:b/>
                <w:color w:val="000000"/>
              </w:rPr>
            </w:pPr>
            <w:r>
              <w:rPr>
                <w:rFonts w:hint="eastAsia" w:ascii="宋体" w:hAnsi="宋体"/>
                <w:b/>
                <w:color w:val="000000"/>
              </w:rPr>
              <w:t xml:space="preserve">评分标准和评审材料</w:t>
            </w: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rPr>
                <w:rFonts w:ascii="宋体" w:hAnsi="宋体"/>
                <w:b/>
                <w:color w:val="000000"/>
              </w:rPr>
            </w:pPr>
            <w:r>
              <w:rPr>
                <w:rFonts w:hint="eastAsia" w:ascii="宋体" w:hAnsi="宋体"/>
                <w:b/>
                <w:color w:val="000000"/>
              </w:rPr>
              <w:t xml:space="preserve">最低分值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rPr>
                <w:rFonts w:ascii="宋体" w:hAnsi="宋体"/>
                <w:b/>
                <w:color w:val="000000"/>
              </w:rPr>
            </w:pPr>
            <w:r>
              <w:rPr>
                <w:rFonts w:hint="eastAsia" w:ascii="宋体" w:hAnsi="宋体"/>
                <w:b/>
                <w:color w:val="000000"/>
              </w:rPr>
              <w:t xml:space="preserve">最高分值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rPr>
                <w:rFonts w:ascii="宋体" w:hAnsi="宋体"/>
                <w:b/>
                <w:color w:val="000000"/>
              </w:rPr>
            </w:pP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rPr>
                <w:rFonts w:ascii="宋体" w:hAnsi="宋体"/>
                <w:b/>
                <w:color w:val="000000"/>
              </w:rPr>
            </w:pPr>
            <w:r>
              <w:rPr>
                <w:rFonts w:ascii="宋体" w:hAnsi="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1</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价格分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rFonts w:ascii="宋体" w:hAnsi="宋体" w:cs="宋体"/>
                <w:bCs/>
                <w:color w:val="000000"/>
              </w:rPr>
            </w:pPr>
            <w:r>
              <w:rPr>
                <w:rFonts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eastAsia="等线" w:cs="宋体"/>
                <w:bCs/>
                <w:color w:val="000000"/>
              </w:rPr>
            </w:pPr>
            <w:r>
              <w:rPr>
                <w:rFonts w:hint="eastAsia" w:ascii="宋体" w:hAnsi="宋体" w:cs="宋体"/>
                <w:bCs/>
                <w:color w:val="000000"/>
              </w:rPr>
              <w:t xml:space="preserve">20</w:t>
            </w:r>
            <w:r>
              <w:rPr>
                <w:rFonts w:ascii="宋体" w:hAnsi="宋体" w:eastAsia="等线" w:cs="宋体"/>
                <w:bCs/>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bCs/>
                <w:color w:val="000000"/>
              </w:rPr>
            </w:pP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bCs/>
                <w:color w:val="000000"/>
              </w:rPr>
            </w:pPr>
            <w:r>
              <w:rPr>
                <w:rFonts w:ascii="宋体" w:hAnsi="宋体" w:cs="宋体"/>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15"/>
              <w:jc w:val="center"/>
              <w:widowControl/>
              <w:rPr>
                <w:rFonts w:ascii="宋体" w:hAnsi="宋体" w:cs="宋体"/>
                <w:b/>
                <w:color w:val="000000"/>
              </w:rPr>
            </w:pPr>
            <w:r>
              <w:rPr>
                <w:rFonts w:hint="eastAsia" w:ascii="宋体" w:hAnsi="宋体" w:cs="宋体"/>
                <w:b/>
                <w:bCs/>
                <w:color w:val="000000"/>
              </w:rPr>
              <w:t xml:space="preserve">评分因素</w:t>
            </w: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rFonts w:ascii="宋体" w:hAnsi="宋体" w:cs="宋体"/>
                <w:b/>
                <w:color w:val="000000"/>
              </w:rPr>
            </w:pPr>
            <w:r>
              <w:rPr>
                <w:rFonts w:hint="eastAsia" w:ascii="宋体" w:hAnsi="宋体"/>
                <w:b/>
                <w:color w:val="000000"/>
              </w:rPr>
              <w:t xml:space="preserve">评分标准和评审材料</w:t>
            </w: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rPr>
                <w:rFonts w:ascii="宋体" w:hAnsi="宋体"/>
                <w:b/>
                <w:color w:val="000000"/>
              </w:rPr>
            </w:pPr>
            <w:r>
              <w:rPr>
                <w:rFonts w:hint="eastAsia" w:ascii="宋体" w:hAnsi="宋体"/>
                <w:b/>
                <w:color w:val="000000"/>
              </w:rPr>
              <w:t xml:space="preserve">最低分值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rPr>
                <w:rFonts w:ascii="宋体" w:hAnsi="宋体"/>
                <w:b/>
                <w:color w:val="000000"/>
              </w:rPr>
            </w:pPr>
            <w:r>
              <w:rPr>
                <w:rFonts w:hint="eastAsia" w:ascii="宋体" w:hAnsi="宋体"/>
                <w:b/>
                <w:color w:val="000000"/>
              </w:rPr>
              <w:t xml:space="preserve">最高分值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rPr>
                <w:rFonts w:ascii="宋体" w:hAnsi="宋体"/>
                <w:b/>
                <w:color w:val="000000"/>
              </w:rPr>
            </w:pPr>
            <w:r>
              <w:rPr>
                <w:rFonts w:hint="eastAsia" w:ascii="宋体" w:hAnsi="宋体"/>
                <w:b/>
                <w:color w:val="000000"/>
              </w:rPr>
              <w:t xml:space="preserve">是否暗标评审</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rPr>
                <w:rFonts w:ascii="宋体" w:hAnsi="宋体"/>
                <w:b/>
                <w:color w:val="000000"/>
              </w:rPr>
            </w:pPr>
            <w:r>
              <w:rPr>
                <w:rFonts w:hint="eastAsia" w:ascii="宋体" w:hAnsi="宋体"/>
                <w:b/>
                <w:color w:val="000000"/>
              </w:rPr>
              <w:t xml:space="preserve">是否客观分</w:t>
            </w:r>
            <w:r>
              <w:rPr>
                <w:rFonts w:ascii="宋体" w:hAnsi="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技术分</w:t>
            </w:r>
            <w:r>
              <w:rPr>
                <w:rFonts w:ascii="宋体" w:hAnsi="宋体" w:cs="宋体"/>
                <w:bCs/>
                <w:color w:val="000000"/>
              </w:rPr>
            </w:r>
            <w:r/>
          </w:p>
          <w:p>
            <w:pPr>
              <w:pStyle w:val="915"/>
              <w:jc w:val="center"/>
              <w:widowControl/>
              <w:rPr>
                <w:rFonts w:ascii="宋体" w:hAnsi="宋体" w:cs="宋体"/>
                <w:bCs/>
                <w:color w:val="000000"/>
              </w:rPr>
            </w:pPr>
            <w:r>
              <w:rPr>
                <w:rFonts w:hint="eastAsia" w:ascii="宋体" w:hAnsi="宋体" w:cs="宋体"/>
                <w:bCs/>
                <w:color w:val="000000"/>
              </w:rPr>
              <w:t xml:space="preserve">（主观分）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下列（2.1-</w:t>
            </w:r>
            <w:r>
              <w:rPr>
                <w:rFonts w:ascii="宋体" w:hAnsi="宋体" w:cs="宋体"/>
                <w:bCs/>
                <w:color w:val="000000"/>
              </w:rPr>
              <w:t xml:space="preserve">2.5</w:t>
            </w:r>
            <w:r>
              <w:rPr>
                <w:rFonts w:hint="eastAsia" w:ascii="宋体" w:hAnsi="宋体" w:cs="宋体"/>
                <w:bCs/>
                <w:color w:val="000000"/>
              </w:rPr>
              <w:t xml:space="preserve">）评分项属于暗标评审项。各投标人（供应商）提供评审材料（含样品）中不能出现投标人（供应商）的名称、标志、标记以及其它能够体现投标人（供应商）的信息，否则所有暗标评审项目均不得分。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22</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2.1</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15"/>
              <w:jc w:val="center"/>
              <w:widowControl/>
              <w:rPr>
                <w:rFonts w:ascii="宋体" w:hAnsi="宋体" w:cs="宋体"/>
                <w:bCs/>
                <w:color w:val="000000"/>
              </w:rPr>
            </w:pPr>
            <w:r>
              <w:rPr>
                <w:rFonts w:ascii="宋体" w:hAnsi="宋体" w:cs="宋体"/>
                <w:color w:val="000000"/>
                <w:lang w:bidi="ar"/>
              </w:rPr>
              <w:t xml:space="preserve">项目技术方案</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rFonts w:ascii="宋体" w:hAnsi="宋体" w:cs="宋体"/>
                <w:bCs/>
                <w:color w:val="000000"/>
              </w:rPr>
            </w:pPr>
            <w:r>
              <w:rPr>
                <w:rFonts w:ascii="宋体" w:hAnsi="宋体" w:cs="宋体"/>
                <w:color w:val="000000"/>
                <w:lang w:bidi="ar"/>
              </w:rPr>
              <w:t xml:space="preserve">根据采购人的需求提供项目技术方案，包括但不限于：建设背景、建设原则、建设依据、需求概述、需求定位、网络构架、系统功能、终端功能，根据投标人提供的技术方案等。总体技术方案科学合理、切实可行得5分；总体技术方案较为科学合理、较具可行性得</w:t>
            </w:r>
            <w:r>
              <w:rPr>
                <w:rFonts w:hint="eastAsia" w:ascii="宋体" w:hAnsi="宋体" w:cs="宋体"/>
                <w:color w:val="000000"/>
                <w:lang w:bidi="ar"/>
              </w:rPr>
              <w:t xml:space="preserve">3</w:t>
            </w:r>
            <w:r>
              <w:rPr>
                <w:rFonts w:ascii="宋体" w:hAnsi="宋体" w:cs="宋体"/>
                <w:color w:val="000000"/>
                <w:lang w:bidi="ar"/>
              </w:rPr>
              <w:t xml:space="preserve">分；总体技术方案科学性合理性一般、可行性一般得1分。不提供不得分。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t xml:space="preserve">5</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2</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15"/>
              <w:jc w:val="center"/>
              <w:widowControl/>
              <w:rPr>
                <w:rFonts w:ascii="宋体" w:hAnsi="宋体" w:cs="宋体"/>
                <w:color w:val="000000"/>
                <w:lang w:bidi="ar"/>
              </w:rPr>
            </w:pPr>
            <w:r>
              <w:rPr>
                <w:rFonts w:ascii="宋体" w:hAnsi="宋体" w:cs="宋体"/>
                <w:color w:val="000000"/>
                <w:lang w:bidi="ar"/>
              </w:rPr>
              <w:t xml:space="preserve">项目实施预案</w:t>
            </w:r>
            <w:r>
              <w:rPr>
                <w:rFonts w:ascii="宋体" w:hAnsi="宋体" w:cs="宋体"/>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rFonts w:ascii="宋体" w:hAnsi="宋体" w:cs="宋体"/>
                <w:bCs/>
                <w:color w:val="000000"/>
              </w:rPr>
            </w:pPr>
            <w:r>
              <w:rPr>
                <w:rFonts w:ascii="宋体" w:hAnsi="宋体" w:cs="宋体"/>
                <w:color w:val="000000"/>
                <w:lang w:bidi="ar"/>
              </w:rPr>
              <w:t xml:space="preserve">根据项目需求内容及总体设计方案，制定项目实施方案。包括项目实施组织架构设计、开发计划、测试计划、项目交付计划安排、质量保证措施、进度计划、培训计划、应急预案等。实施方案完善合理、符合项目特点得</w:t>
            </w:r>
            <w:r>
              <w:rPr>
                <w:rFonts w:hint="eastAsia" w:ascii="宋体" w:hAnsi="宋体" w:cs="宋体"/>
                <w:color w:val="000000"/>
                <w:lang w:bidi="ar"/>
              </w:rPr>
              <w:t xml:space="preserve">5</w:t>
            </w:r>
            <w:r>
              <w:rPr>
                <w:rFonts w:ascii="宋体" w:hAnsi="宋体" w:cs="宋体"/>
                <w:color w:val="000000"/>
                <w:lang w:bidi="ar"/>
              </w:rPr>
              <w:t xml:space="preserve">分；实施方案较为完善合理、较符合项目特点得3分；实施方案完善性合理性一般、基本符合项目特点得1分。不提供不得分。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3</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15"/>
              <w:jc w:val="center"/>
              <w:widowControl/>
              <w:rPr>
                <w:rFonts w:ascii="宋体" w:hAnsi="宋体" w:cs="宋体"/>
                <w:color w:val="000000"/>
                <w:lang w:bidi="ar"/>
              </w:rPr>
            </w:pPr>
            <w:r>
              <w:rPr>
                <w:rFonts w:ascii="宋体" w:hAnsi="宋体" w:cs="宋体"/>
                <w:color w:val="000000"/>
                <w:lang w:bidi="ar"/>
              </w:rPr>
              <w:t xml:space="preserve">项目培训方案</w:t>
            </w:r>
            <w:r>
              <w:rPr>
                <w:rFonts w:ascii="宋体" w:hAnsi="宋体" w:cs="宋体"/>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rFonts w:ascii="宋体" w:hAnsi="宋体" w:cs="宋体"/>
                <w:bCs/>
                <w:color w:val="000000"/>
              </w:rPr>
            </w:pPr>
            <w:r>
              <w:rPr>
                <w:rFonts w:ascii="宋体" w:hAnsi="宋体" w:cs="宋体"/>
                <w:color w:val="000000"/>
                <w:lang w:bidi="ar"/>
              </w:rPr>
              <w:t xml:space="preserve">根据项目建设内容提供系统培训方案，包括：施工计划、人员安排、保障措施、应急处置方案、试运行方案、验收方案等。总体培训方案科学合理、切实可行得5分；总体培训方案较为科学合理、较具可行性得</w:t>
            </w:r>
            <w:r>
              <w:rPr>
                <w:rFonts w:hint="eastAsia" w:ascii="宋体" w:hAnsi="宋体" w:cs="宋体"/>
                <w:color w:val="000000"/>
                <w:lang w:bidi="ar"/>
              </w:rPr>
              <w:t xml:space="preserve">3</w:t>
            </w:r>
            <w:r>
              <w:rPr>
                <w:rFonts w:ascii="宋体" w:hAnsi="宋体" w:cs="宋体"/>
                <w:color w:val="000000"/>
                <w:lang w:bidi="ar"/>
              </w:rPr>
              <w:t xml:space="preserve">分；总体培训方案科学性合理性一般、可行性一般得1分。不提供不得分。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t xml:space="preserve">5</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ascii="宋体" w:hAnsi="宋体" w:cs="宋体"/>
                <w:bCs/>
                <w:color w:val="000000"/>
              </w:rPr>
              <w:t xml:space="preserve">2.4</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系统对接方案</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rFonts w:ascii="宋体" w:hAnsi="宋体" w:cs="宋体"/>
                <w:color w:val="000000"/>
                <w:lang w:bidi="ar"/>
              </w:rPr>
            </w:pPr>
            <w:r>
              <w:rPr>
                <w:rFonts w:ascii="宋体" w:hAnsi="宋体" w:cs="宋体"/>
                <w:color w:val="000000"/>
                <w:lang w:bidi="ar"/>
              </w:rPr>
              <w:t xml:space="preserve">依据项目建设内容</w:t>
            </w:r>
            <w:r>
              <w:rPr>
                <w:rFonts w:hint="eastAsia" w:ascii="宋体" w:hAnsi="宋体" w:cs="宋体"/>
                <w:color w:val="000000"/>
                <w:lang w:bidi="ar"/>
              </w:rPr>
              <w:t xml:space="preserve">本次投标系统与院方现有智慧病房系统与现有相关系统的对接方案。提供清晰、合理的与院方现有系统对接方案，得4分。 提供较清晰、较合理的对接方案，得2分。 提供方案不清晰、不合理，得1分；提供对接方案，得0分。</w:t>
            </w:r>
            <w:r>
              <w:rPr>
                <w:rFonts w:ascii="宋体" w:hAnsi="宋体" w:cs="宋体"/>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5</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售后服务与应急方案</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rFonts w:ascii="宋体" w:hAnsi="宋体" w:cs="宋体"/>
                <w:bCs/>
                <w:color w:val="000000"/>
              </w:rPr>
            </w:pPr>
            <w:r>
              <w:rPr>
                <w:rFonts w:ascii="宋体" w:hAnsi="宋体" w:cs="宋体"/>
                <w:color w:val="000000"/>
                <w:lang w:bidi="ar"/>
              </w:rPr>
              <w:t xml:space="preserve">依据项目建设内容提供售后服务方案和应急方案，包括承诺内容、售后方案、硬件方案的清晰性和科学合理性等方面进行综合评估。方案清晰、合理，得3分。方案较清晰、较合理，得</w:t>
            </w:r>
            <w:r>
              <w:rPr>
                <w:rFonts w:hint="eastAsia" w:ascii="宋体" w:hAnsi="宋体" w:cs="宋体"/>
                <w:color w:val="000000"/>
                <w:lang w:bidi="ar"/>
              </w:rPr>
              <w:t xml:space="preserve">2</w:t>
            </w:r>
            <w:r>
              <w:rPr>
                <w:rFonts w:ascii="宋体" w:hAnsi="宋体" w:cs="宋体"/>
                <w:color w:val="000000"/>
                <w:lang w:bidi="ar"/>
              </w:rPr>
              <w:t xml:space="preserve">分。售后服务承诺及方案不清晰、不合理，得1分。无售后服务承诺及方案，得0分。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15"/>
              <w:jc w:val="center"/>
              <w:widowControl/>
              <w:rPr>
                <w:rFonts w:ascii="宋体" w:hAnsi="宋体" w:cs="宋体"/>
                <w:color w:val="000000"/>
                <w:lang w:bidi="ar"/>
              </w:rPr>
            </w:pPr>
            <w:r>
              <w:rPr>
                <w:rFonts w:hint="eastAsia" w:ascii="宋体" w:hAnsi="宋体" w:cs="宋体"/>
                <w:color w:val="000000"/>
                <w:lang w:bidi="ar"/>
              </w:rPr>
              <w:t xml:space="preserve">商务分</w:t>
            </w:r>
            <w:r>
              <w:rPr>
                <w:rFonts w:ascii="宋体" w:hAnsi="宋体" w:cs="宋体"/>
                <w:color w:val="000000"/>
                <w:lang w:bidi="ar"/>
              </w:rPr>
            </w:r>
            <w:r/>
          </w:p>
          <w:p>
            <w:pPr>
              <w:pStyle w:val="915"/>
              <w:jc w:val="center"/>
              <w:widowControl/>
              <w:rPr>
                <w:rFonts w:ascii="宋体" w:hAnsi="宋体" w:cs="宋体"/>
                <w:color w:val="000000"/>
                <w:lang w:bidi="ar"/>
              </w:rPr>
            </w:pPr>
            <w:r>
              <w:rPr>
                <w:rFonts w:hint="eastAsia" w:ascii="宋体" w:hAnsi="宋体" w:cs="宋体"/>
                <w:color w:val="000000"/>
                <w:lang w:bidi="ar"/>
              </w:rPr>
              <w:t xml:space="preserve">（客观分）</w:t>
            </w:r>
            <w:r>
              <w:rPr>
                <w:rFonts w:ascii="宋体" w:hAnsi="宋体" w:cs="宋体"/>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58</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3.1</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技术参数与功能指标</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color w:val="000000"/>
              </w:rPr>
            </w:pPr>
            <w:r>
              <w:rPr>
                <w:rFonts w:ascii="宋体" w:hAnsi="宋体" w:cs="宋体"/>
                <w:color w:val="000000"/>
                <w:lang w:bidi="ar"/>
              </w:rPr>
              <w:t xml:space="preserve">所投产品完全满足技术功能参数技术要求的得16分。▲项需要提供软件功能截图并加盖投标人公章，否则不得分，标注▲每有一项负偏离扣1分，扣完为止；非▲</w:t>
            </w:r>
            <w:r>
              <w:rPr>
                <w:rFonts w:hint="eastAsia" w:ascii="宋体" w:hAnsi="宋体" w:cs="宋体"/>
                <w:color w:val="000000"/>
                <w:lang w:bidi="ar"/>
              </w:rPr>
              <w:t xml:space="preserve">和非</w:t>
            </w:r>
            <w:r>
              <w:rPr>
                <w:rFonts w:ascii="宋体" w:hAnsi="宋体" w:cs="宋体"/>
                <w:color w:val="000000"/>
                <w:lang w:bidi="ar"/>
              </w:rPr>
              <w:t xml:space="preserve">◆项每有一项负偏离扣0.5分，扣完为止。(无法提供要求的产品性能彩页、产品设计图片、说明、证明材料、截图或相关检测报告的</w:t>
            </w:r>
            <w:r>
              <w:rPr>
                <w:rFonts w:hint="eastAsia" w:ascii="宋体" w:hAnsi="宋体" w:cs="宋体"/>
                <w:color w:val="000000"/>
                <w:lang w:bidi="ar"/>
              </w:rPr>
              <w:t xml:space="preserve">等证明</w:t>
            </w:r>
            <w:r>
              <w:rPr>
                <w:rFonts w:ascii="宋体" w:hAnsi="宋体" w:cs="宋体"/>
                <w:color w:val="000000"/>
                <w:lang w:bidi="ar"/>
              </w:rPr>
              <w:t xml:space="preserve">视为不满足该项技术指标)。</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16</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2</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企业资质</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color w:val="000000"/>
                <w:lang w:bidi="ar"/>
              </w:rPr>
            </w:pPr>
            <w:r>
              <w:rPr>
                <w:rFonts w:ascii="宋体" w:hAnsi="宋体" w:cs="宋体"/>
                <w:color w:val="000000"/>
                <w:lang w:bidi="ar"/>
              </w:rPr>
              <w:t xml:space="preserve">投标人具有：ISO9001质量管理体系认证证书、ISO 27001信息安全管理体系认证、</w:t>
            </w:r>
            <w:bookmarkStart w:id="206" w:name="OLE_LINK1"/>
            <w:r>
              <w:rPr>
                <w:rFonts w:ascii="宋体" w:hAnsi="宋体" w:cs="宋体"/>
                <w:color w:val="000000"/>
                <w:lang w:bidi="ar"/>
              </w:rPr>
              <w:t xml:space="preserve">ISO 29100隐私框架信息安全管理认证</w:t>
            </w:r>
            <w:bookmarkEnd w:id="206"/>
            <w:r>
              <w:rPr>
                <w:rFonts w:ascii="宋体" w:hAnsi="宋体" w:cs="宋体"/>
                <w:color w:val="000000"/>
                <w:lang w:bidi="ar"/>
              </w:rPr>
              <w:t xml:space="preserve">、ISO10015培训管理体系认证证书，每具有1个得1分，最高得4分，需提证书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w:t>
            </w:r>
            <w:r>
              <w:rPr>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3</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节能环保</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color w:val="000000"/>
                <w:lang w:bidi="ar"/>
              </w:rPr>
            </w:pPr>
            <w:r>
              <w:rPr>
                <w:rFonts w:ascii="宋体" w:hAnsi="宋体" w:cs="宋体"/>
                <w:color w:val="000000"/>
                <w:lang w:bidi="ar"/>
              </w:rPr>
              <w:t xml:space="preserve">1、所投呼叫设备被认定为节能产品的，每有一种得1分，最多得1分。 2、所投呼叫设备被认定为环境标志产品的，每有一种得1分，最多得1分。应提供国家确定的认证机构出具的有效期内产品认证证书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并加盖投标人公章，超过认证证书有效截止日期的自动失效。</w:t>
            </w:r>
            <w:r>
              <w:rPr>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4</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企业业绩</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color w:val="000000"/>
              </w:rPr>
            </w:pPr>
            <w:r>
              <w:rPr>
                <w:rFonts w:ascii="宋体" w:hAnsi="宋体" w:cs="宋体"/>
                <w:color w:val="000000"/>
                <w:lang w:bidi="ar"/>
              </w:rPr>
              <w:t xml:space="preserve">投标人自2020年1月1日至今承接过同类项目的项目业绩，每提供1个得1分，最高得2分，需提供投标人产品销售业绩合同</w:t>
            </w:r>
            <w:r>
              <w:rPr>
                <w:rFonts w:hint="eastAsia" w:ascii="宋体" w:hAnsi="宋体" w:cs="宋体"/>
                <w:color w:val="000000"/>
                <w:lang w:bidi="ar"/>
              </w:rPr>
              <w:t xml:space="preserve">扫描件</w:t>
            </w:r>
            <w:r>
              <w:rPr>
                <w:rFonts w:ascii="宋体" w:hAnsi="宋体" w:cs="宋体"/>
                <w:color w:val="000000"/>
                <w:lang w:bidi="ar"/>
              </w:rPr>
              <w:t xml:space="preserve">并加盖公章。</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5</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企业技术实力</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rFonts w:ascii="宋体" w:hAnsi="宋体"/>
                <w:color w:val="000000"/>
              </w:rPr>
            </w:pPr>
            <w:r>
              <w:rPr>
                <w:rFonts w:ascii="宋体" w:hAnsi="宋体" w:cs="宋体"/>
                <w:color w:val="000000"/>
                <w:lang w:bidi="ar"/>
              </w:rPr>
              <w:t xml:space="preserve">投标人或所投厂商需提供与“医疗大数据分析”、</w:t>
            </w:r>
            <w:r>
              <w:rPr>
                <w:rFonts w:hint="eastAsia" w:ascii="宋体" w:hAnsi="宋体" w:cs="宋体"/>
                <w:color w:val="000000"/>
                <w:lang w:bidi="ar"/>
              </w:rPr>
              <w:t xml:space="preserve">“住院一体化系统”</w:t>
            </w:r>
            <w:r>
              <w:rPr>
                <w:rFonts w:ascii="宋体" w:hAnsi="宋体" w:cs="宋体"/>
                <w:color w:val="000000"/>
                <w:lang w:bidi="ar"/>
              </w:rPr>
              <w:t xml:space="preserve">、“医护管理”、“临床数据监测”类相关的软件著作权。每提供一类软件著作权证书得1分，最多得4分。需提供证书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并加盖投标人公章。注：需提供证书</w:t>
            </w:r>
            <w:r>
              <w:rPr>
                <w:rFonts w:hint="eastAsia" w:ascii="宋体" w:hAnsi="宋体" w:cs="宋体"/>
                <w:color w:val="000000"/>
                <w:lang w:bidi="ar"/>
              </w:rPr>
              <w:t xml:space="preserve">扫描件</w:t>
            </w:r>
            <w:r>
              <w:rPr>
                <w:rFonts w:ascii="宋体" w:hAnsi="宋体" w:cs="宋体"/>
                <w:color w:val="000000"/>
                <w:lang w:bidi="ar"/>
              </w:rPr>
              <w:t xml:space="preserve">，投标人或所投产品研发企业必须为原始取得的</w:t>
            </w:r>
            <w:r>
              <w:rPr>
                <w:rFonts w:hint="eastAsia" w:ascii="宋体" w:hAnsi="宋体" w:cs="宋体"/>
                <w:color w:val="000000"/>
                <w:lang w:bidi="ar"/>
              </w:rPr>
              <w:t xml:space="preserve">软件著作权证</w:t>
            </w:r>
            <w:r>
              <w:rPr>
                <w:rFonts w:ascii="宋体" w:hAnsi="宋体" w:cs="宋体"/>
                <w:color w:val="000000"/>
                <w:lang w:bidi="ar"/>
              </w:rPr>
              <w:t xml:space="preserve">，软件著作权证书必须在</w:t>
            </w:r>
            <w:r>
              <w:rPr>
                <w:rFonts w:hint="eastAsia" w:ascii="宋体" w:hAnsi="宋体" w:cs="宋体"/>
                <w:color w:val="000000"/>
                <w:lang w:bidi="ar"/>
              </w:rPr>
              <w:t xml:space="preserve">投标截止日期</w:t>
            </w:r>
            <w:r>
              <w:rPr>
                <w:rFonts w:ascii="宋体" w:hAnsi="宋体" w:cs="宋体"/>
                <w:color w:val="000000"/>
                <w:lang w:bidi="ar"/>
              </w:rPr>
              <w:t xml:space="preserve">之前取得，</w:t>
            </w:r>
            <w:r>
              <w:rPr>
                <w:rFonts w:hint="eastAsia" w:ascii="宋体" w:hAnsi="宋体" w:cs="宋体"/>
                <w:color w:val="000000"/>
                <w:lang w:bidi="ar"/>
              </w:rPr>
              <w:t xml:space="preserve">软件著作权关键字不同，但内容与采购标的相符的，提供相关证明材料，由评标委员会判定。</w:t>
            </w:r>
            <w:r>
              <w:rPr>
                <w:rFonts w:ascii="宋体" w:hAnsi="宋体" w:cs="宋体"/>
                <w:b/>
                <w:bCs/>
                <w:color w:val="000000"/>
                <w:lang w:bidi="ar"/>
              </w:rPr>
              <w:t xml:space="preserve">内容重复的著作权只计1次得分。</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6</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项目人员配置1</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color w:val="000000"/>
              </w:rPr>
            </w:pPr>
            <w:r>
              <w:rPr>
                <w:rFonts w:ascii="宋体" w:hAnsi="宋体" w:cs="宋体"/>
                <w:color w:val="000000"/>
                <w:lang w:bidi="ar"/>
              </w:rPr>
              <w:t xml:space="preserve">拟投入本项目的项目经理1人，具备高级工程师职称、信息系统项目管理师、注册信息安全专业人员认证（CISP）证书和IT服务项目经理的，每有一个得1分，本项最高得4分。</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0</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7</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项目人员配置2</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color w:val="000000"/>
              </w:rPr>
            </w:pPr>
            <w:r>
              <w:rPr>
                <w:rFonts w:ascii="宋体" w:hAnsi="宋体" w:cs="宋体"/>
                <w:color w:val="000000"/>
                <w:lang w:bidi="ar"/>
              </w:rPr>
              <w:t xml:space="preserve">拟投入本项目的</w:t>
            </w:r>
            <w:r>
              <w:rPr>
                <w:rFonts w:hint="eastAsia" w:ascii="宋体" w:hAnsi="宋体" w:cs="宋体"/>
                <w:color w:val="000000"/>
                <w:lang w:bidi="ar"/>
              </w:rPr>
              <w:t xml:space="preserve">项目信息安全员1人，具备（网络安全类）高级工程师职称、网络通信安全管理员认证、网络安全能力认证（网络安全技术Ⅰ级）、注册信息安全工程（C</w:t>
            </w:r>
            <w:r>
              <w:rPr>
                <w:rFonts w:ascii="宋体" w:hAnsi="宋体" w:cs="宋体"/>
                <w:color w:val="000000"/>
                <w:lang w:bidi="ar"/>
              </w:rPr>
              <w:t xml:space="preserve">ISE</w:t>
            </w:r>
            <w:r>
              <w:rPr>
                <w:rFonts w:hint="eastAsia" w:ascii="宋体" w:hAnsi="宋体" w:cs="宋体"/>
                <w:color w:val="000000"/>
                <w:lang w:bidi="ar"/>
              </w:rPr>
              <w:t xml:space="preserve">）证书的，每有1个得1分，本项目最高4分。</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8</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项目人员配置3</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left"/>
              <w:widowControl/>
              <w:rPr>
                <w:color w:val="000000"/>
              </w:rPr>
            </w:pPr>
            <w:r>
              <w:rPr>
                <w:rFonts w:hint="eastAsia"/>
                <w:color w:val="000000"/>
              </w:rPr>
              <w:t xml:space="preserve">拟投入本项目的技术负责人具备高级工程师职能、高级网络规划师、数据库系统工程师、高级计算机程序设计员，每有一个得1分，本项最高得4分。</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9</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974"/>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系统演示（详见需采购人提交的附件之视频演示功能清单）</w:t>
            </w:r>
            <w:r>
              <w:rPr>
                <w:rFonts w:ascii="宋体" w:hAnsi="宋体" w:eastAsia="宋体" w:cs="宋体"/>
                <w:color w:val="000000"/>
                <w:sz w:val="21"/>
                <w:szCs w:val="21"/>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pStyle w:val="915"/>
              <w:jc w:val="center"/>
              <w:widowControl/>
              <w:rPr>
                <w:color w:val="000000"/>
              </w:rPr>
            </w:pPr>
            <w:r>
              <w:rPr>
                <w:rFonts w:ascii="宋体" w:hAnsi="宋体" w:cs="宋体"/>
                <w:color w:val="000000"/>
                <w:lang w:bidi="ar"/>
              </w:rPr>
              <w:t xml:space="preserve">采购文件中带“◆”号的为关键响应指标项，共15项，须提供系统演示视频证明满足相关功能（上传有效格式的演示视频。上传的单个视频大小不能超50M，所有视频大小不能超300M，所有演示视频时间总计不能超过15分钟。）每条提供真实系统功能演示视频，完全满足要求的，得1.2分；提供真实系统功能演示视频，不能完全满足要求或其他证明形式的，得0分。</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5"/>
              <w:jc w:val="center"/>
              <w:widowControl/>
              <w:rPr>
                <w:rFonts w:ascii="宋体" w:hAnsi="宋体" w:cs="宋体"/>
                <w:bCs/>
                <w:color w:val="000000"/>
              </w:rPr>
            </w:pPr>
            <w:r>
              <w:rPr>
                <w:rFonts w:hint="eastAsia" w:ascii="宋体" w:hAnsi="宋体" w:cs="宋体"/>
                <w:bCs/>
                <w:color w:val="000000"/>
              </w:rPr>
              <w:t xml:space="preserve">0</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18</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否</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w:t>
            </w:r>
            <w:r>
              <w:rPr>
                <w:rFonts w:ascii="宋体" w:hAnsi="宋体" w:cs="宋体"/>
                <w:color w:val="000000"/>
              </w:rPr>
            </w:r>
            <w:r/>
          </w:p>
        </w:tc>
      </w:tr>
    </w:tbl>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rPr>
      </w:pPr>
      <w:r/>
      <w:bookmarkStart w:id="207" w:name="_Toc13876_WPSOffice_Level1"/>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w:t>
      </w:r>
      <w:bookmarkEnd w:id="207"/>
      <w:r>
        <w:rPr>
          <w:rFonts w:hint="eastAsia" w:ascii="黑体" w:eastAsia="黑体"/>
          <w:bCs/>
          <w:sz w:val="44"/>
        </w:rPr>
        <w:t xml:space="preserve"> </w:t>
      </w:r>
      <w:r>
        <w:rPr>
          <w:rFonts w:hint="eastAsia" w:ascii="黑体" w:eastAsia="黑体"/>
          <w:bCs/>
          <w:sz w:val="44"/>
        </w:rPr>
      </w:r>
      <w:r/>
    </w:p>
    <w:p>
      <w:pPr>
        <w:pStyle w:val="915"/>
        <w:jc w:val="center"/>
        <w:rPr>
          <w:rFonts w:hint="eastAsia" w:ascii="宋体" w:hAnsi="宋体"/>
          <w:b/>
          <w:sz w:val="72"/>
        </w:rPr>
      </w:pPr>
      <w:r/>
      <w:bookmarkStart w:id="208" w:name="_Hlt26955039"/>
      <w:r/>
      <w:bookmarkEnd w:id="208"/>
      <w:r/>
      <w:bookmarkStart w:id="209" w:name="_Hlt26671244"/>
      <w:r/>
      <w:bookmarkEnd w:id="209"/>
      <w:r/>
      <w:bookmarkStart w:id="210" w:name="_Toc26554094"/>
      <w:r/>
      <w:bookmarkStart w:id="211" w:name="_Toc49090576"/>
      <w:r/>
      <w:bookmarkStart w:id="212" w:name="_Toc120614282"/>
      <w:r>
        <w:rPr>
          <w:rFonts w:hint="eastAsia" w:ascii="宋体" w:hAnsi="宋体"/>
          <w:b/>
          <w:sz w:val="72"/>
        </w:rPr>
      </w:r>
      <w:r/>
    </w:p>
    <w:p>
      <w:pPr>
        <w:pStyle w:val="915"/>
        <w:jc w:val="center"/>
        <w:rPr>
          <w:rFonts w:hint="eastAsia" w:ascii="宋体" w:hAnsi="宋体"/>
          <w:b/>
          <w:sz w:val="72"/>
        </w:rPr>
      </w:pPr>
      <w:r/>
      <w:bookmarkStart w:id="213" w:name="_Toc15073_WPSOffice_Level1"/>
      <w:r>
        <w:rPr>
          <w:rFonts w:hint="eastAsia" w:ascii="宋体" w:hAnsi="宋体"/>
          <w:b/>
          <w:sz w:val="72"/>
        </w:rPr>
        <w:t xml:space="preserve">投  标  文  件</w:t>
      </w:r>
      <w:bookmarkEnd w:id="213"/>
      <w:r>
        <w:rPr>
          <w:rFonts w:hint="eastAsia" w:ascii="宋体" w:hAnsi="宋体"/>
          <w:b/>
          <w:sz w:val="72"/>
        </w:rPr>
      </w:r>
      <w:r/>
    </w:p>
    <w:p>
      <w:pPr>
        <w:pStyle w:val="915"/>
        <w:jc w:val="center"/>
        <w:rPr>
          <w:rFonts w:hint="eastAsia" w:ascii="宋体" w:hAnsi="宋体"/>
          <w:b/>
          <w:sz w:val="72"/>
        </w:rPr>
      </w:pPr>
      <w:r>
        <w:rPr>
          <w:rFonts w:hint="eastAsia" w:ascii="宋体" w:hAnsi="宋体"/>
          <w:b/>
          <w:sz w:val="72"/>
        </w:rPr>
      </w:r>
      <w:r/>
    </w:p>
    <w:p>
      <w:pPr>
        <w:pStyle w:val="915"/>
        <w:jc w:val="center"/>
        <w:rPr>
          <w:rFonts w:hint="eastAsia" w:ascii="宋体" w:hAnsi="宋体"/>
          <w:b/>
          <w:sz w:val="72"/>
        </w:rPr>
      </w:pPr>
      <w:r>
        <w:rPr>
          <w:rFonts w:hint="eastAsia" w:ascii="宋体" w:hAnsi="宋体"/>
          <w:b/>
          <w:sz w:val="72"/>
        </w:rPr>
      </w:r>
      <w:r/>
    </w:p>
    <w:p>
      <w:pPr>
        <w:pStyle w:val="915"/>
        <w:jc w:val="center"/>
        <w:rPr>
          <w:rFonts w:hint="eastAsia" w:ascii="宋体" w:hAnsi="宋体"/>
          <w:b/>
          <w:sz w:val="36"/>
        </w:rPr>
      </w:pPr>
      <w:r>
        <w:rPr>
          <w:rFonts w:hint="eastAsia" w:ascii="宋体" w:hAnsi="宋体"/>
          <w:b/>
          <w:sz w:val="36"/>
        </w:rPr>
      </w:r>
      <w:r/>
    </w:p>
    <w:p>
      <w:pPr>
        <w:pStyle w:val="915"/>
        <w:jc w:val="center"/>
        <w:rPr>
          <w:rFonts w:hint="eastAsia" w:ascii="宋体" w:hAnsi="宋体"/>
          <w:b/>
          <w:sz w:val="36"/>
        </w:rPr>
      </w:pPr>
      <w:r>
        <w:rPr>
          <w:rFonts w:hint="eastAsia" w:ascii="宋体" w:hAnsi="宋体"/>
          <w:b/>
          <w:sz w:val="36"/>
        </w:rPr>
      </w:r>
      <w:r/>
    </w:p>
    <w:p>
      <w:pPr>
        <w:pStyle w:val="915"/>
        <w:jc w:val="center"/>
        <w:rPr>
          <w:rFonts w:hint="eastAsia" w:ascii="宋体" w:hAnsi="宋体"/>
          <w:b/>
          <w:sz w:val="36"/>
        </w:rPr>
      </w:pPr>
      <w:r>
        <w:rPr>
          <w:rFonts w:hint="eastAsia" w:ascii="宋体" w:hAnsi="宋体"/>
          <w:b/>
          <w:sz w:val="36"/>
        </w:rPr>
      </w:r>
      <w:r/>
    </w:p>
    <w:p>
      <w:pPr>
        <w:pStyle w:val="915"/>
        <w:ind w:firstLine="1084"/>
        <w:rPr>
          <w:rFonts w:hint="eastAsia" w:ascii="宋体" w:hAnsi="宋体"/>
          <w:b/>
          <w:sz w:val="36"/>
        </w:rPr>
      </w:pPr>
      <w:r/>
      <w:bookmarkStart w:id="214" w:name="_Toc23154_WPSOffice_Level1"/>
      <w:r>
        <w:rPr>
          <w:rFonts w:hint="eastAsia" w:ascii="宋体" w:hAnsi="宋体"/>
          <w:b/>
          <w:sz w:val="36"/>
        </w:rPr>
        <w:t xml:space="preserve">项 目 名 称：</w:t>
      </w:r>
      <w:bookmarkEnd w:id="214"/>
      <w:r>
        <w:rPr>
          <w:rFonts w:hint="eastAsia" w:ascii="宋体" w:hAnsi="宋体"/>
          <w:b/>
          <w:sz w:val="36"/>
          <w:u w:val="single"/>
        </w:rPr>
        <w:t xml:space="preserve">               </w:t>
      </w:r>
      <w:r>
        <w:rPr>
          <w:rFonts w:hint="eastAsia" w:ascii="宋体" w:hAnsi="宋体"/>
          <w:b/>
          <w:sz w:val="36"/>
        </w:rPr>
      </w:r>
      <w:r/>
    </w:p>
    <w:p>
      <w:pPr>
        <w:pStyle w:val="915"/>
        <w:ind w:firstLine="1084"/>
        <w:rPr>
          <w:rFonts w:hint="eastAsia" w:ascii="宋体" w:hAnsi="宋体"/>
          <w:b/>
          <w:sz w:val="36"/>
          <w:u w:val="single"/>
        </w:rPr>
      </w:pPr>
      <w:r/>
      <w:bookmarkStart w:id="215" w:name="_Toc19238_WPSOffice_Level1"/>
      <w:r>
        <w:rPr>
          <w:rFonts w:hint="eastAsia" w:ascii="宋体" w:hAnsi="宋体"/>
          <w:b/>
          <w:sz w:val="36"/>
        </w:rPr>
        <w:t xml:space="preserve">项 目 编 号：</w:t>
      </w:r>
      <w:bookmarkEnd w:id="215"/>
      <w:r>
        <w:rPr>
          <w:rFonts w:hint="eastAsia" w:ascii="宋体" w:hAnsi="宋体"/>
          <w:b/>
          <w:sz w:val="36"/>
          <w:u w:val="single"/>
        </w:rPr>
        <w:t xml:space="preserve">               </w:t>
      </w:r>
      <w:r>
        <w:rPr>
          <w:rFonts w:hint="eastAsia" w:ascii="宋体" w:hAnsi="宋体"/>
          <w:b/>
          <w:sz w:val="36"/>
          <w:u w:val="single"/>
        </w:rPr>
      </w:r>
      <w:r/>
    </w:p>
    <w:p>
      <w:pPr>
        <w:pStyle w:val="915"/>
        <w:rPr>
          <w:rFonts w:hint="eastAsia" w:ascii="宋体" w:hAnsi="宋体"/>
          <w:b/>
          <w:sz w:val="36"/>
          <w:u w:val="single"/>
        </w:rPr>
      </w:pPr>
      <w:r>
        <w:rPr>
          <w:rFonts w:hint="eastAsia" w:ascii="宋体" w:hAnsi="宋体"/>
          <w:b/>
          <w:sz w:val="36"/>
        </w:rPr>
        <w:t xml:space="preserve">      </w:t>
      </w:r>
      <w:bookmarkStart w:id="216" w:name="_Toc16965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6"/>
      <w:r>
        <w:rPr>
          <w:rFonts w:hint="eastAsia" w:ascii="宋体" w:hAnsi="宋体"/>
          <w:b/>
          <w:sz w:val="36"/>
          <w:u w:val="single"/>
        </w:rPr>
      </w:r>
      <w:r/>
    </w:p>
    <w:p>
      <w:pPr>
        <w:pStyle w:val="915"/>
        <w:rPr>
          <w:rFonts w:hint="eastAsia" w:ascii="宋体" w:hAnsi="宋体"/>
          <w:b/>
          <w:sz w:val="36"/>
          <w:u w:val="single"/>
        </w:rPr>
      </w:pPr>
      <w:r>
        <w:rPr>
          <w:rFonts w:hint="eastAsia" w:ascii="宋体" w:hAnsi="宋体"/>
          <w:b/>
          <w:sz w:val="36"/>
        </w:rPr>
        <w:t xml:space="preserve">      </w:t>
      </w:r>
      <w:bookmarkStart w:id="217" w:name="_Toc6887_WPSOffice_Level1"/>
      <w:r>
        <w:rPr>
          <w:rFonts w:hint="eastAsia" w:ascii="宋体" w:hAnsi="宋体"/>
          <w:b/>
          <w:sz w:val="36"/>
        </w:rPr>
        <w:t xml:space="preserve">日      期 ：</w:t>
      </w:r>
      <w:bookmarkEnd w:id="217"/>
      <w:r>
        <w:rPr>
          <w:rFonts w:hint="eastAsia" w:ascii="宋体" w:hAnsi="宋体"/>
          <w:b/>
          <w:sz w:val="36"/>
          <w:u w:val="single"/>
        </w:rPr>
        <w:t xml:space="preserve">               </w:t>
      </w:r>
      <w:r>
        <w:rPr>
          <w:rFonts w:hint="eastAsia" w:ascii="宋体" w:hAnsi="宋体"/>
          <w:b/>
          <w:sz w:val="36"/>
          <w:u w:val="single"/>
        </w:rPr>
      </w:r>
      <w:r/>
    </w:p>
    <w:p>
      <w:pPr>
        <w:pStyle w:val="915"/>
        <w:jc w:val="center"/>
        <w:rPr>
          <w:rFonts w:hint="eastAsia" w:ascii="宋体" w:hAnsi="宋体"/>
          <w:b/>
          <w:bCs/>
          <w:sz w:val="32"/>
          <w:szCs w:val="32"/>
        </w:rPr>
      </w:pPr>
      <w:r>
        <w:rPr>
          <w:rFonts w:hint="eastAsia" w:ascii="宋体" w:hAnsi="宋体"/>
          <w:b/>
          <w:bCs/>
          <w:sz w:val="32"/>
          <w:szCs w:val="32"/>
        </w:rPr>
      </w:r>
      <w:r/>
    </w:p>
    <w:p>
      <w:pPr>
        <w:pStyle w:val="915"/>
        <w:rPr>
          <w:rFonts w:ascii="宋体" w:hAnsi="宋体"/>
        </w:rPr>
      </w:pPr>
      <w:r>
        <w:rPr>
          <w:rFonts w:ascii="宋体" w:hAnsi="宋体"/>
        </w:rPr>
      </w:r>
      <w:r/>
    </w:p>
    <w:p>
      <w:pPr>
        <w:pStyle w:val="915"/>
        <w:jc w:val="center"/>
        <w:rPr>
          <w:rFonts w:hint="eastAsia" w:ascii="宋体" w:hAnsi="宋体"/>
          <w:b/>
          <w:bCs/>
          <w:sz w:val="32"/>
          <w:szCs w:val="32"/>
        </w:rPr>
      </w:pPr>
      <w:r>
        <w:rPr>
          <w:rFonts w:ascii="宋体" w:hAnsi="宋体"/>
          <w:b/>
          <w:sz w:val="36"/>
          <w:u w:val="single"/>
        </w:rPr>
        <w:br w:type="page" w:clear="all"/>
      </w:r>
      <w:bookmarkStart w:id="218" w:name="_Toc18928_WPSOffice_Level1"/>
      <w:r>
        <w:rPr>
          <w:rFonts w:hint="eastAsia" w:ascii="宋体" w:hAnsi="宋体"/>
          <w:b/>
          <w:bCs/>
          <w:sz w:val="32"/>
          <w:szCs w:val="32"/>
        </w:rPr>
        <w:t xml:space="preserve">投标文件主要格式目录</w:t>
      </w:r>
      <w:bookmarkEnd w:id="218"/>
      <w:r>
        <w:rPr>
          <w:rFonts w:hint="eastAsia" w:ascii="宋体" w:hAnsi="宋体"/>
          <w:b/>
          <w:bCs/>
          <w:sz w:val="32"/>
          <w:szCs w:val="32"/>
        </w:rPr>
      </w:r>
      <w:r/>
    </w:p>
    <w:p>
      <w:pPr>
        <w:pStyle w:val="915"/>
        <w:jc w:val="center"/>
        <w:rPr>
          <w:rFonts w:hint="eastAsia" w:ascii="宋体" w:hAnsi="宋体"/>
          <w:b/>
          <w:bCs/>
          <w:sz w:val="32"/>
          <w:szCs w:val="32"/>
        </w:rPr>
      </w:pPr>
      <w:r>
        <w:rPr>
          <w:rFonts w:hint="eastAsia" w:ascii="宋体" w:hAnsi="宋体"/>
          <w:b/>
          <w:bCs/>
          <w:sz w:val="32"/>
          <w:szCs w:val="32"/>
        </w:rPr>
      </w:r>
      <w:r/>
    </w:p>
    <w:p>
      <w:pPr>
        <w:pStyle w:val="915"/>
        <w:ind w:firstLine="480"/>
        <w:rPr>
          <w:rFonts w:hint="eastAsia" w:ascii="宋体" w:hAnsi="宋体"/>
          <w:i/>
          <w:sz w:val="24"/>
          <w:u w:val="single"/>
        </w:rPr>
      </w:pPr>
      <w:r/>
      <w:bookmarkStart w:id="219" w:name="_Toc31030_WPSOffice_Level1"/>
      <w:r>
        <w:rPr>
          <w:rFonts w:hint="eastAsia" w:ascii="宋体" w:hAnsi="宋体"/>
          <w:i/>
          <w:sz w:val="24"/>
          <w:u w:val="single"/>
        </w:rPr>
        <w:t xml:space="preserve">一、投标人资格声明函</w:t>
      </w:r>
      <w:bookmarkEnd w:id="219"/>
      <w:r>
        <w:rPr>
          <w:rFonts w:hint="eastAsia" w:ascii="宋体" w:hAnsi="宋体"/>
          <w:i/>
          <w:sz w:val="24"/>
          <w:u w:val="single"/>
        </w:rPr>
      </w:r>
      <w:r/>
    </w:p>
    <w:p>
      <w:pPr>
        <w:pStyle w:val="915"/>
        <w:ind w:firstLine="480"/>
        <w:rPr>
          <w:rFonts w:hint="eastAsia" w:ascii="宋体" w:hAnsi="宋体"/>
          <w:i/>
          <w:sz w:val="24"/>
          <w:u w:val="single"/>
        </w:rPr>
      </w:pPr>
      <w:r/>
      <w:bookmarkStart w:id="220" w:name="_Toc16563_WPSOffice_Level1"/>
      <w:r>
        <w:rPr>
          <w:rFonts w:hint="eastAsia" w:ascii="宋体" w:hAnsi="宋体"/>
          <w:i/>
          <w:sz w:val="24"/>
          <w:u w:val="single"/>
        </w:rPr>
        <w:t xml:space="preserve">二、特定资格要求的证明文件（如果本项目设置特定资格要求，则需要提供）</w:t>
      </w:r>
      <w:bookmarkEnd w:id="220"/>
      <w:r>
        <w:rPr>
          <w:rFonts w:hint="eastAsia" w:ascii="宋体" w:hAnsi="宋体"/>
          <w:i/>
          <w:sz w:val="24"/>
          <w:u w:val="single"/>
        </w:rPr>
      </w:r>
      <w:r/>
    </w:p>
    <w:p>
      <w:pPr>
        <w:pStyle w:val="915"/>
        <w:ind w:firstLine="480"/>
        <w:rPr>
          <w:rFonts w:hint="eastAsia" w:ascii="宋体" w:hAnsi="宋体"/>
          <w:i/>
          <w:sz w:val="24"/>
          <w:u w:val="single"/>
        </w:rPr>
      </w:pPr>
      <w:r/>
      <w:bookmarkStart w:id="221" w:name="_Toc2810_WPSOffice_Level1"/>
      <w:r>
        <w:rPr>
          <w:rFonts w:hint="eastAsia" w:ascii="宋体" w:hAnsi="宋体"/>
          <w:i/>
          <w:sz w:val="24"/>
          <w:u w:val="single"/>
        </w:rPr>
        <w:t xml:space="preserve">三、法人授权书</w:t>
      </w:r>
      <w:bookmarkEnd w:id="221"/>
      <w:r>
        <w:rPr>
          <w:rFonts w:hint="eastAsia" w:ascii="宋体" w:hAnsi="宋体"/>
          <w:i/>
          <w:sz w:val="24"/>
          <w:u w:val="single"/>
        </w:rPr>
      </w:r>
      <w:r/>
    </w:p>
    <w:p>
      <w:pPr>
        <w:pStyle w:val="915"/>
        <w:ind w:firstLine="480"/>
        <w:rPr>
          <w:rFonts w:hint="eastAsia" w:ascii="宋体" w:hAnsi="宋体"/>
          <w:i/>
          <w:sz w:val="24"/>
          <w:u w:val="single"/>
        </w:rPr>
      </w:pPr>
      <w:r/>
      <w:bookmarkStart w:id="222" w:name="_Toc10202_WPSOffice_Level1"/>
      <w:r>
        <w:rPr>
          <w:rFonts w:hint="eastAsia" w:ascii="宋体" w:hAnsi="宋体"/>
          <w:i/>
          <w:sz w:val="24"/>
          <w:u w:val="single"/>
        </w:rPr>
        <w:t xml:space="preserve">四、投标函</w:t>
      </w:r>
      <w:bookmarkEnd w:id="222"/>
      <w:r>
        <w:rPr>
          <w:rFonts w:hint="eastAsia" w:ascii="宋体" w:hAnsi="宋体"/>
          <w:i/>
          <w:sz w:val="24"/>
          <w:u w:val="single"/>
        </w:rPr>
      </w:r>
      <w:r/>
    </w:p>
    <w:p>
      <w:pPr>
        <w:pStyle w:val="915"/>
        <w:ind w:firstLine="480"/>
        <w:rPr>
          <w:rFonts w:hint="eastAsia" w:ascii="宋体" w:hAnsi="宋体"/>
          <w:sz w:val="24"/>
        </w:rPr>
      </w:pPr>
      <w:r/>
      <w:bookmarkStart w:id="223" w:name="_Toc1105_WPSOffice_Level1"/>
      <w:r>
        <w:rPr>
          <w:rFonts w:hint="eastAsia" w:ascii="宋体" w:hAnsi="宋体"/>
          <w:sz w:val="24"/>
        </w:rPr>
        <w:t xml:space="preserve">五、小微企业声明函</w:t>
      </w:r>
      <w:bookmarkEnd w:id="223"/>
      <w:r>
        <w:rPr>
          <w:rFonts w:hint="eastAsia" w:ascii="宋体" w:hAnsi="宋体"/>
          <w:sz w:val="24"/>
        </w:rPr>
      </w:r>
      <w:r/>
    </w:p>
    <w:p>
      <w:pPr>
        <w:pStyle w:val="915"/>
        <w:ind w:firstLine="480"/>
        <w:rPr>
          <w:rFonts w:hint="eastAsia" w:ascii="宋体" w:hAnsi="宋体"/>
          <w:sz w:val="24"/>
        </w:rPr>
      </w:pPr>
      <w:r/>
      <w:bookmarkStart w:id="224" w:name="_Toc8989_WPSOffice_Level1"/>
      <w:r>
        <w:rPr>
          <w:rFonts w:hint="eastAsia" w:ascii="宋体" w:hAnsi="宋体"/>
          <w:sz w:val="24"/>
        </w:rPr>
        <w:t xml:space="preserve">六、残疾人福利性单位声明函或监狱企业证明</w:t>
      </w:r>
      <w:bookmarkEnd w:id="224"/>
      <w:r>
        <w:rPr>
          <w:rFonts w:hint="eastAsia" w:ascii="宋体" w:hAnsi="宋体"/>
          <w:sz w:val="24"/>
        </w:rPr>
      </w:r>
      <w:r/>
    </w:p>
    <w:p>
      <w:pPr>
        <w:pStyle w:val="915"/>
        <w:ind w:firstLine="480"/>
        <w:rPr>
          <w:rFonts w:hint="eastAsia" w:ascii="宋体" w:hAnsi="宋体"/>
          <w:sz w:val="24"/>
        </w:rPr>
      </w:pPr>
      <w:r/>
      <w:bookmarkStart w:id="225" w:name="_Toc465_WPSOffice_Level1"/>
      <w:r>
        <w:rPr>
          <w:rFonts w:hint="eastAsia" w:ascii="宋体" w:hAnsi="宋体"/>
          <w:sz w:val="24"/>
        </w:rPr>
        <w:t xml:space="preserve">七、联合体协议</w:t>
      </w:r>
      <w:bookmarkEnd w:id="225"/>
      <w:r>
        <w:rPr>
          <w:rFonts w:hint="eastAsia" w:ascii="宋体" w:hAnsi="宋体"/>
          <w:sz w:val="24"/>
        </w:rPr>
      </w:r>
      <w:r/>
    </w:p>
    <w:p>
      <w:pPr>
        <w:pStyle w:val="915"/>
        <w:ind w:firstLine="480"/>
        <w:rPr>
          <w:rFonts w:hint="eastAsia" w:ascii="宋体" w:hAnsi="宋体"/>
          <w:i/>
          <w:sz w:val="24"/>
          <w:u w:val="single"/>
        </w:rPr>
      </w:pPr>
      <w:r/>
      <w:bookmarkStart w:id="226" w:name="_Toc27994_WPSOffice_Level1"/>
      <w:r>
        <w:rPr>
          <w:rFonts w:hint="eastAsia" w:ascii="宋体" w:hAnsi="宋体"/>
          <w:i/>
          <w:sz w:val="24"/>
          <w:u w:val="single"/>
        </w:rPr>
        <w:t xml:space="preserve">八、投标分项报价表</w:t>
      </w:r>
      <w:bookmarkEnd w:id="226"/>
      <w:r>
        <w:rPr>
          <w:rFonts w:hint="eastAsia" w:ascii="宋体" w:hAnsi="宋体"/>
          <w:i/>
          <w:sz w:val="24"/>
          <w:u w:val="single"/>
        </w:rPr>
      </w:r>
      <w:r/>
    </w:p>
    <w:p>
      <w:pPr>
        <w:pStyle w:val="915"/>
        <w:ind w:firstLine="480"/>
        <w:rPr>
          <w:rFonts w:hint="eastAsia" w:ascii="宋体" w:hAnsi="宋体"/>
          <w:sz w:val="24"/>
        </w:rPr>
      </w:pPr>
      <w:r/>
      <w:bookmarkStart w:id="227" w:name="_Toc10501_WPSOffice_Level1"/>
      <w:r>
        <w:rPr>
          <w:rFonts w:hint="eastAsia" w:ascii="宋体" w:hAnsi="宋体"/>
          <w:sz w:val="24"/>
        </w:rPr>
        <w:t xml:space="preserve">九、技术要求响应及偏离表</w:t>
      </w:r>
      <w:bookmarkEnd w:id="227"/>
      <w:r>
        <w:rPr>
          <w:rFonts w:hint="eastAsia" w:ascii="宋体" w:hAnsi="宋体"/>
          <w:sz w:val="24"/>
        </w:rPr>
      </w:r>
      <w:r/>
    </w:p>
    <w:p>
      <w:pPr>
        <w:pStyle w:val="915"/>
        <w:ind w:firstLine="480"/>
        <w:rPr>
          <w:rFonts w:ascii="宋体" w:hAnsi="宋体"/>
          <w:sz w:val="24"/>
        </w:rPr>
      </w:pPr>
      <w:r/>
      <w:bookmarkStart w:id="228" w:name="_Toc31651_WPSOffice_Level1"/>
      <w:r>
        <w:rPr>
          <w:rFonts w:hint="eastAsia" w:ascii="宋体" w:hAnsi="宋体"/>
          <w:sz w:val="24"/>
        </w:rPr>
        <w:t xml:space="preserve">十、商务要求响应及偏离表</w:t>
      </w:r>
      <w:bookmarkEnd w:id="228"/>
      <w:r>
        <w:rPr>
          <w:rFonts w:ascii="宋体" w:hAnsi="宋体"/>
          <w:sz w:val="24"/>
        </w:rPr>
      </w:r>
      <w:r/>
    </w:p>
    <w:p>
      <w:pPr>
        <w:pStyle w:val="915"/>
        <w:ind w:firstLine="480"/>
        <w:rPr>
          <w:rFonts w:ascii="宋体" w:hAnsi="宋体"/>
          <w:i/>
          <w:sz w:val="24"/>
          <w:u w:val="single"/>
        </w:rPr>
      </w:pPr>
      <w:r/>
      <w:bookmarkStart w:id="229" w:name="_Toc12696_WPSOffice_Level1"/>
      <w:r>
        <w:rPr>
          <w:rFonts w:hint="eastAsia" w:ascii="宋体" w:hAnsi="宋体"/>
          <w:i/>
          <w:sz w:val="24"/>
          <w:u w:val="single"/>
        </w:rPr>
        <w:t xml:space="preserve">十一、开标一览表</w:t>
      </w:r>
      <w:bookmarkEnd w:id="229"/>
      <w:r>
        <w:rPr>
          <w:rFonts w:ascii="宋体" w:hAnsi="宋体"/>
          <w:i/>
          <w:sz w:val="24"/>
          <w:u w:val="single"/>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ind w:firstLine="480"/>
        <w:rPr>
          <w:rFonts w:ascii="宋体" w:hAnsi="宋体"/>
          <w:sz w:val="24"/>
        </w:rPr>
      </w:pPr>
      <w:r>
        <w:rPr>
          <w:rFonts w:ascii="宋体" w:hAnsi="宋体"/>
          <w:sz w:val="24"/>
        </w:rPr>
      </w:r>
      <w:r/>
    </w:p>
    <w:p>
      <w:pPr>
        <w:pStyle w:val="915"/>
        <w:rPr>
          <w:rFonts w:ascii="黑体" w:hAnsi="黑体" w:eastAsia="黑体"/>
          <w:i/>
          <w:sz w:val="32"/>
          <w:szCs w:val="32"/>
          <w:u w:val="single"/>
        </w:rPr>
      </w:pPr>
      <w:r/>
      <w:bookmarkEnd w:id="210"/>
      <w:r/>
      <w:bookmarkEnd w:id="211"/>
      <w:r/>
      <w:bookmarkEnd w:id="212"/>
      <w:r/>
      <w:bookmarkStart w:id="23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5"/>
        <w:jc w:val="center"/>
        <w:widowControl/>
        <w:rPr>
          <w:rFonts w:hint="eastAsia" w:ascii="宋体" w:hAnsi="宋体" w:cs="宋体"/>
          <w:b/>
          <w:sz w:val="28"/>
          <w:szCs w:val="28"/>
        </w:rPr>
      </w:pPr>
      <w:r>
        <w:rPr>
          <w:rFonts w:hint="eastAsia" w:ascii="宋体" w:hAnsi="宋体" w:cs="宋体"/>
          <w:b/>
          <w:sz w:val="28"/>
          <w:szCs w:val="28"/>
        </w:rPr>
      </w:r>
      <w:r/>
    </w:p>
    <w:p>
      <w:pPr>
        <w:pStyle w:val="915"/>
        <w:jc w:val="center"/>
        <w:widowControl/>
        <w:rPr>
          <w:rFonts w:ascii="宋体" w:hAnsi="宋体" w:cs="宋体"/>
        </w:rPr>
      </w:pPr>
      <w:r/>
      <w:bookmarkStart w:id="231" w:name="_Toc2616_WPSOffice_Level1"/>
      <w:r>
        <w:rPr>
          <w:rFonts w:hint="eastAsia" w:ascii="宋体" w:hAnsi="宋体" w:cs="宋体"/>
          <w:b/>
          <w:sz w:val="28"/>
          <w:szCs w:val="28"/>
        </w:rPr>
        <w:t xml:space="preserve">投标人资格声明函</w:t>
      </w:r>
      <w:bookmarkEnd w:id="231"/>
      <w:r>
        <w:rPr>
          <w:rFonts w:ascii="宋体" w:hAnsi="宋体" w:cs="宋体"/>
        </w:rPr>
      </w:r>
      <w:r/>
    </w:p>
    <w:p>
      <w:pPr>
        <w:pStyle w:val="1000"/>
        <w:ind w:firstLine="480"/>
      </w:pPr>
      <w:r/>
      <w:r/>
    </w:p>
    <w:p>
      <w:pPr>
        <w:pStyle w:val="1000"/>
        <w:ind w:firstLine="480"/>
      </w:pPr>
      <w:r>
        <w:rPr>
          <w:rFonts w:hint="eastAsia"/>
        </w:rPr>
        <w:t xml:space="preserve">致：常州市政府采购中心</w:t>
      </w:r>
      <w:r/>
    </w:p>
    <w:p>
      <w:pPr>
        <w:pStyle w:val="1000"/>
        <w:ind w:firstLine="800"/>
        <w:rPr>
          <w:u w:val="single"/>
        </w:rPr>
      </w:pPr>
      <w:r>
        <w:rPr>
          <w:rFonts w:hint="eastAsia"/>
          <w:u w:val="single"/>
        </w:rPr>
        <w:t xml:space="preserve">（采购人名称）</w:t>
      </w:r>
      <w:r>
        <w:rPr>
          <w:u w:val="single"/>
        </w:rPr>
      </w:r>
      <w:r/>
    </w:p>
    <w:p>
      <w:pPr>
        <w:pStyle w:val="1000"/>
        <w:ind w:firstLine="480"/>
      </w:pPr>
      <w:r/>
      <w:r/>
    </w:p>
    <w:p>
      <w:pPr>
        <w:pStyle w:val="1000"/>
        <w:ind w:firstLine="480"/>
      </w:pPr>
      <w:r>
        <w:rPr>
          <w:rFonts w:hint="eastAsia"/>
        </w:rPr>
        <w:t xml:space="preserve">按照《中华人民共和国政府采购法》第二十二条和招标文件的规定，我单位郑重声明如下：</w:t>
      </w:r>
      <w:r/>
    </w:p>
    <w:p>
      <w:pPr>
        <w:pStyle w:val="1000"/>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00"/>
        <w:ind w:firstLine="480"/>
      </w:pPr>
      <w:r>
        <w:rPr>
          <w:rFonts w:hint="eastAsia"/>
        </w:rPr>
        <w:t xml:space="preserve">二、我单位具有良好的商业信誉（指投标人经营状况良好，无本资格声明第十条情形）和健全的财务会计制度。</w:t>
      </w:r>
      <w:r/>
    </w:p>
    <w:p>
      <w:pPr>
        <w:pStyle w:val="1000"/>
        <w:ind w:firstLine="480"/>
      </w:pPr>
      <w:r>
        <w:rPr>
          <w:rFonts w:hint="eastAsia"/>
        </w:rPr>
        <w:t xml:space="preserve">三、我单位依法进行纳税和社会保险申报并实际履行了义务。</w:t>
      </w:r>
      <w:r/>
    </w:p>
    <w:p>
      <w:pPr>
        <w:pStyle w:val="1000"/>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00"/>
        <w:ind w:firstLine="480"/>
      </w:pPr>
      <w:r>
        <w:rPr>
          <w:rFonts w:hint="eastAsia"/>
        </w:rPr>
        <w:t xml:space="preserve">主要设备有：</w:t>
      </w:r>
      <w:r>
        <w:rPr>
          <w:u w:val="single"/>
        </w:rPr>
        <w:t xml:space="preserve">            </w:t>
      </w:r>
      <w:r/>
    </w:p>
    <w:p>
      <w:pPr>
        <w:pStyle w:val="1000"/>
        <w:ind w:firstLine="480"/>
      </w:pPr>
      <w:r>
        <w:rPr>
          <w:rFonts w:hint="eastAsia"/>
        </w:rPr>
        <w:t xml:space="preserve">主要专业技术能力有</w:t>
      </w:r>
      <w:r>
        <w:rPr>
          <w:rFonts w:hint="eastAsia"/>
          <w:u w:val="single"/>
        </w:rPr>
        <w:t xml:space="preserve">                 </w:t>
      </w:r>
      <w:r/>
    </w:p>
    <w:p>
      <w:pPr>
        <w:pStyle w:val="1000"/>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0"/>
        <w:ind w:firstLine="480"/>
      </w:pPr>
      <w:r>
        <w:rPr>
          <w:rFonts w:hint="eastAsia"/>
        </w:rPr>
        <w:t xml:space="preserve">六、我单位具备法律、行政法规规定的其他条件。</w:t>
      </w:r>
      <w:r/>
    </w:p>
    <w:p>
      <w:pPr>
        <w:pStyle w:val="1000"/>
        <w:ind w:firstLine="480"/>
      </w:pPr>
      <w:r>
        <w:rPr>
          <w:rFonts w:hint="eastAsia"/>
        </w:rPr>
        <w:t xml:space="preserve">七、与我单位存在“单位负责人为同一人或者存在直接控股、管理关系”的其他单位信息如下（如无此情形的，填写“无”）：</w:t>
      </w:r>
      <w:r/>
    </w:p>
    <w:p>
      <w:pPr>
        <w:pStyle w:val="1000"/>
        <w:ind w:firstLine="480"/>
      </w:pPr>
      <w:r/>
      <w:bookmarkStart w:id="232" w:name="_Toc17675_WPSOffice_Level1"/>
      <w:r>
        <w:rPr>
          <w:rFonts w:hint="eastAsia"/>
        </w:rPr>
        <w:t xml:space="preserve">1、与我单位的法定代表人（单位负责人）为同一人的其他单位如下：</w:t>
      </w:r>
      <w:bookmarkEnd w:id="232"/>
      <w:r>
        <w:rPr>
          <w:rFonts w:hint="eastAsia"/>
          <w:u w:val="single"/>
        </w:rPr>
        <w:t xml:space="preserve">     </w:t>
      </w:r>
      <w:r>
        <w:rPr>
          <w:rFonts w:hint="eastAsia"/>
        </w:rPr>
        <w:t xml:space="preserve">          </w:t>
      </w:r>
      <w:r/>
    </w:p>
    <w:p>
      <w:pPr>
        <w:pStyle w:val="1000"/>
        <w:ind w:firstLine="480"/>
      </w:pPr>
      <w:r/>
      <w:bookmarkStart w:id="233" w:name="_Toc27117_WPSOffice_Level1"/>
      <w:r>
        <w:rPr>
          <w:rFonts w:hint="eastAsia"/>
        </w:rPr>
        <w:t xml:space="preserve">2、我单位直接控股的其他单位如下：</w:t>
      </w:r>
      <w:bookmarkEnd w:id="233"/>
      <w:r>
        <w:rPr>
          <w:rFonts w:hint="eastAsia"/>
          <w:u w:val="single"/>
        </w:rPr>
        <w:t xml:space="preserve">                    </w:t>
      </w:r>
      <w:r>
        <w:rPr>
          <w:rFonts w:hint="eastAsia"/>
        </w:rPr>
        <w:t xml:space="preserve"> </w:t>
      </w:r>
      <w:r/>
    </w:p>
    <w:p>
      <w:pPr>
        <w:pStyle w:val="1000"/>
        <w:ind w:firstLine="480"/>
      </w:pPr>
      <w:r/>
      <w:bookmarkStart w:id="234" w:name="_Toc20712_WPSOffice_Level1"/>
      <w:r>
        <w:rPr>
          <w:rFonts w:hint="eastAsia"/>
        </w:rPr>
        <w:t xml:space="preserve">3、与我单位存在管理关系的其他单位如下：</w:t>
      </w:r>
      <w:bookmarkEnd w:id="234"/>
      <w:r>
        <w:rPr>
          <w:rFonts w:hint="eastAsia"/>
          <w:u w:val="single"/>
        </w:rPr>
        <w:t xml:space="preserve">              </w:t>
      </w:r>
      <w:r>
        <w:rPr>
          <w:rFonts w:hint="eastAsia"/>
        </w:rPr>
        <w:t xml:space="preserve"> </w:t>
      </w:r>
      <w:r/>
    </w:p>
    <w:p>
      <w:pPr>
        <w:pStyle w:val="1000"/>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00"/>
        <w:ind w:firstLine="480"/>
      </w:pPr>
      <w:r>
        <w:rPr>
          <w:rFonts w:hint="eastAsia"/>
        </w:rPr>
        <w:t xml:space="preserve">九、</w:t>
      </w:r>
      <w:r>
        <w:t xml:space="preserve">我单位无以下不良信用记录情形：</w:t>
      </w:r>
      <w:r/>
    </w:p>
    <w:p>
      <w:pPr>
        <w:pStyle w:val="1000"/>
        <w:ind w:firstLine="480"/>
      </w:pPr>
      <w:r/>
      <w:bookmarkStart w:id="235" w:name="_Toc23039_WPSOffice_Level1"/>
      <w:r>
        <w:t xml:space="preserve">1</w:t>
      </w:r>
      <w:r>
        <w:rPr>
          <w:rFonts w:hint="eastAsia"/>
        </w:rPr>
        <w:t xml:space="preserve">、在“信用中国”网站被列入失信被执行人和重大税收违法案件当事人名单；</w:t>
      </w:r>
      <w:bookmarkEnd w:id="235"/>
      <w:r/>
      <w:r/>
    </w:p>
    <w:p>
      <w:pPr>
        <w:pStyle w:val="1000"/>
        <w:ind w:firstLine="480"/>
      </w:pPr>
      <w:r/>
      <w:bookmarkStart w:id="236" w:name="_Toc2006_WPSOffice_Level1"/>
      <w:r>
        <w:t xml:space="preserve">2</w:t>
      </w:r>
      <w:r>
        <w:rPr>
          <w:rFonts w:hint="eastAsia"/>
        </w:rPr>
        <w:t xml:space="preserve">、在“中国政府采购网”网站被列入政府采购严重违法失信行为记录名单；</w:t>
      </w:r>
      <w:bookmarkEnd w:id="236"/>
      <w:r/>
      <w:r/>
    </w:p>
    <w:p>
      <w:pPr>
        <w:pStyle w:val="1000"/>
        <w:ind w:firstLine="480"/>
      </w:pPr>
      <w:r/>
      <w:bookmarkStart w:id="237" w:name="_Toc22895_WPSOffice_Level1"/>
      <w:r>
        <w:t xml:space="preserve">3</w:t>
      </w:r>
      <w:r>
        <w:rPr>
          <w:rFonts w:hint="eastAsia"/>
        </w:rPr>
        <w:t xml:space="preserve">、</w:t>
      </w:r>
      <w:r>
        <w:t xml:space="preserve">不符合《政府采购法》第二十二条规定的条件。</w:t>
      </w:r>
      <w:bookmarkEnd w:id="237"/>
      <w:r/>
      <w:r/>
    </w:p>
    <w:p>
      <w:pPr>
        <w:pStyle w:val="1000"/>
        <w:ind w:firstLine="480"/>
      </w:pPr>
      <w:r/>
      <w:r/>
    </w:p>
    <w:p>
      <w:pPr>
        <w:pStyle w:val="1000"/>
        <w:ind w:firstLine="480"/>
      </w:pPr>
      <w:r>
        <w:rPr>
          <w:rFonts w:hint="eastAsia"/>
        </w:rPr>
        <w:t xml:space="preserve">我单位保证上述声明的事项都是真实的，如有虚假，我单位愿意承担相应的法律责任，并承担因此所造成的一切损失。</w:t>
      </w:r>
      <w:r/>
    </w:p>
    <w:p>
      <w:pPr>
        <w:pStyle w:val="1000"/>
        <w:ind w:firstLine="480"/>
      </w:pPr>
      <w:r/>
      <w:r/>
    </w:p>
    <w:p>
      <w:pPr>
        <w:pStyle w:val="1000"/>
        <w:ind w:firstLine="480"/>
      </w:pPr>
      <w:r/>
      <w:r/>
    </w:p>
    <w:p>
      <w:pPr>
        <w:pStyle w:val="1000"/>
        <w:ind w:firstLine="480"/>
      </w:pPr>
      <w:r>
        <w:rPr>
          <w:rFonts w:hint="eastAsia"/>
        </w:rPr>
        <w:t xml:space="preserve">                                            投标人：（加盖公章）</w:t>
      </w:r>
      <w:r/>
    </w:p>
    <w:p>
      <w:pPr>
        <w:pStyle w:val="1000"/>
        <w:ind w:firstLine="480"/>
      </w:pPr>
      <w:r>
        <w:rPr>
          <w:rFonts w:hint="eastAsia"/>
        </w:rPr>
        <w:t xml:space="preserve">                                           法定代表人（或单位负责人）签字或盖章：</w:t>
      </w:r>
      <w:r/>
    </w:p>
    <w:p>
      <w:pPr>
        <w:pStyle w:val="1000"/>
        <w:ind w:firstLine="4100"/>
        <w:rPr>
          <w:rFonts w:hint="eastAsia"/>
        </w:rPr>
      </w:pPr>
      <w:r>
        <w:rPr>
          <w:rFonts w:hint="eastAsia"/>
        </w:rPr>
        <w:t xml:space="preserve">日期：    年    月    日</w:t>
      </w:r>
      <w:r>
        <w:rPr>
          <w:rFonts w:hint="eastAsia"/>
        </w:rPr>
      </w:r>
      <w:r/>
    </w:p>
    <w:p>
      <w:pPr>
        <w:pStyle w:val="915"/>
        <w:rPr>
          <w:rFonts w:hint="eastAsia"/>
          <w:sz w:val="24"/>
        </w:rPr>
      </w:pPr>
      <w:r>
        <w:rPr>
          <w:rFonts w:hint="eastAsia"/>
          <w:sz w:val="24"/>
        </w:rPr>
      </w:r>
      <w:r/>
    </w:p>
    <w:p>
      <w:pPr>
        <w:pStyle w:val="915"/>
        <w:rPr>
          <w:rFonts w:hint="eastAsia"/>
          <w:sz w:val="24"/>
        </w:rPr>
      </w:pPr>
      <w:r>
        <w:rPr>
          <w:rFonts w:hint="eastAsia"/>
          <w:sz w:val="24"/>
        </w:rPr>
      </w:r>
      <w:r/>
    </w:p>
    <w:p>
      <w:pPr>
        <w:pStyle w:val="915"/>
        <w:rPr>
          <w:rFonts w:hint="eastAsia"/>
          <w:sz w:val="24"/>
        </w:rPr>
      </w:pPr>
      <w:r>
        <w:rPr>
          <w:rFonts w:hint="eastAsia"/>
          <w:sz w:val="24"/>
        </w:rPr>
      </w:r>
      <w:r/>
    </w:p>
    <w:p>
      <w:pPr>
        <w:pStyle w:val="915"/>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15"/>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1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15"/>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1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1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1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1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1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12"/>
        <w:ind w:firstLine="480"/>
        <w:tabs>
          <w:tab w:val="left" w:pos="360" w:leader="none"/>
        </w:tabs>
        <w:rPr>
          <w:rFonts w:hint="eastAsia"/>
          <w:sz w:val="24"/>
          <w:szCs w:val="24"/>
        </w:rPr>
      </w:pPr>
      <w:r>
        <w:rPr>
          <w:rFonts w:hint="eastAsia"/>
          <w:sz w:val="24"/>
          <w:szCs w:val="24"/>
        </w:rPr>
        <w:t xml:space="preserve">      日期：</w:t>
      </w:r>
      <w:bookmarkStart w:id="238" w:name="_Hlt26955070"/>
      <w:r/>
      <w:bookmarkEnd w:id="238"/>
      <w:r/>
      <w:bookmarkStart w:id="239" w:name="_Hlt26671380"/>
      <w:r/>
      <w:bookmarkEnd w:id="239"/>
      <w:r/>
      <w:bookmarkStart w:id="240" w:name="_格式3__银行出具的资信证明"/>
      <w:r/>
      <w:bookmarkEnd w:id="240"/>
      <w:r>
        <w:rPr>
          <w:rFonts w:hint="eastAsia"/>
          <w:sz w:val="24"/>
          <w:szCs w:val="24"/>
          <w:u w:val="single"/>
        </w:rPr>
        <w:t xml:space="preserve">                                         </w:t>
      </w:r>
      <w:r>
        <w:rPr>
          <w:rFonts w:hint="eastAsia"/>
          <w:sz w:val="24"/>
          <w:szCs w:val="24"/>
        </w:rPr>
      </w:r>
      <w:r/>
    </w:p>
    <w:p>
      <w:pPr>
        <w:pStyle w:val="1000"/>
        <w:rPr>
          <w:rFonts w:hint="eastAsia"/>
          <w:i/>
          <w:sz w:val="24"/>
          <w:szCs w:val="24"/>
          <w:u w:val="single"/>
        </w:rPr>
      </w:pPr>
      <w:r>
        <w:rPr>
          <w:rFonts w:hint="eastAsia"/>
          <w:i/>
          <w:sz w:val="24"/>
          <w:szCs w:val="24"/>
          <w:u w:val="single"/>
        </w:rPr>
      </w:r>
      <w:r/>
    </w:p>
    <w:p>
      <w:pPr>
        <w:pStyle w:val="1000"/>
        <w:ind w:firstLine="0"/>
        <w:rPr>
          <w:rFonts w:hint="eastAsia"/>
        </w:rPr>
      </w:pPr>
      <w:r>
        <w:rPr>
          <w:rFonts w:hint="eastAsia"/>
        </w:rPr>
      </w:r>
      <w:r/>
    </w:p>
    <w:p>
      <w:pPr>
        <w:pStyle w:val="915"/>
        <w:rPr>
          <w:rFonts w:hint="eastAsia" w:ascii="楷体" w:hAnsi="楷体" w:eastAsia="楷体"/>
          <w:bCs/>
          <w:sz w:val="24"/>
          <w:szCs w:val="24"/>
        </w:rPr>
      </w:pPr>
      <w:r>
        <w:rPr>
          <w:rFonts w:hint="eastAsia" w:ascii="楷体" w:hAnsi="楷体" w:eastAsia="楷体"/>
          <w:bCs/>
          <w:sz w:val="24"/>
          <w:szCs w:val="24"/>
        </w:rPr>
      </w:r>
      <w:r/>
    </w:p>
    <w:p>
      <w:pPr>
        <w:pStyle w:val="915"/>
        <w:rPr>
          <w:rFonts w:hint="eastAsia" w:ascii="宋体" w:hAnsi="宋体"/>
          <w:bCs/>
          <w:sz w:val="24"/>
        </w:rPr>
      </w:pPr>
      <w:r>
        <w:rPr>
          <w:rFonts w:hint="eastAsia" w:ascii="宋体" w:hAnsi="宋体"/>
          <w:bCs/>
          <w:sz w:val="24"/>
        </w:rPr>
      </w:r>
      <w:r/>
    </w:p>
    <w:p>
      <w:pPr>
        <w:pStyle w:val="918"/>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23"/>
        <w:ind w:firstLine="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23"/>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1023"/>
        <w:spacing w:before="0" w:after="0" w:line="240" w:lineRule="auto"/>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1023"/>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3"/>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3"/>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3"/>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3"/>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3"/>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23"/>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23"/>
        <w:ind w:left="42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3"/>
        <w:ind w:left="42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3"/>
        <w:ind w:left="42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23"/>
        <w:ind w:left="42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23"/>
        <w:ind w:left="42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23"/>
        <w:ind w:left="42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23"/>
        <w:ind w:left="42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5"/>
        <w:ind w:firstLine="240"/>
        <w:jc w:val="center"/>
        <w:rPr>
          <w:rFonts w:hint="eastAsia" w:ascii="宋体" w:hAnsi="宋体"/>
          <w:bCs/>
          <w:sz w:val="24"/>
        </w:rPr>
      </w:pPr>
      <w:r>
        <w:rPr>
          <w:rFonts w:hint="eastAsia" w:ascii="宋体" w:hAnsi="宋体"/>
          <w:bCs/>
          <w:sz w:val="24"/>
        </w:rPr>
      </w:r>
      <w:r/>
    </w:p>
    <w:p>
      <w:pPr>
        <w:pStyle w:val="915"/>
        <w:jc w:val="center"/>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915"/>
        <w:ind w:firstLine="360"/>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915"/>
        <w:ind w:firstLine="360"/>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5"/>
        <w:ind w:firstLine="360"/>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5"/>
        <w:ind w:firstLine="36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5"/>
        <w:ind w:firstLine="36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5"/>
        <w:ind w:firstLine="36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5"/>
        <w:ind w:right="720"/>
        <w:rPr>
          <w:rFonts w:hint="eastAsia" w:ascii="宋体" w:hAnsi="宋体"/>
          <w:sz w:val="24"/>
          <w:szCs w:val="24"/>
        </w:rPr>
      </w:pPr>
      <w:r>
        <w:rPr>
          <w:rFonts w:hint="eastAsia" w:ascii="宋体" w:hAnsi="宋体"/>
          <w:sz w:val="24"/>
          <w:szCs w:val="24"/>
        </w:rPr>
      </w:r>
      <w:r/>
    </w:p>
    <w:p>
      <w:pPr>
        <w:pStyle w:val="915"/>
        <w:ind w:right="180" w:firstLine="360"/>
        <w:jc w:val="center"/>
        <w:rPr>
          <w:rFonts w:hint="eastAsia" w:ascii="宋体" w:hAnsi="宋体"/>
          <w:sz w:val="24"/>
          <w:szCs w:val="24"/>
        </w:rPr>
      </w:pPr>
      <w:r>
        <w:rPr>
          <w:rFonts w:hint="eastAsia" w:ascii="宋体" w:hAnsi="宋体"/>
          <w:sz w:val="24"/>
          <w:szCs w:val="24"/>
        </w:rPr>
        <w:t xml:space="preserve">                           </w:t>
      </w:r>
      <w:bookmarkStart w:id="241" w:name="_Toc28662_WPSOffice_Level1"/>
      <w:r>
        <w:rPr>
          <w:rFonts w:hint="eastAsia" w:ascii="宋体" w:hAnsi="宋体"/>
          <w:sz w:val="24"/>
          <w:szCs w:val="24"/>
        </w:rPr>
        <w:t xml:space="preserve">企业名称（加盖CA电子公章）：</w:t>
      </w:r>
      <w:bookmarkEnd w:id="241"/>
      <w:r>
        <w:rPr>
          <w:rFonts w:hint="eastAsia" w:ascii="宋体" w:hAnsi="宋体"/>
          <w:sz w:val="24"/>
          <w:szCs w:val="24"/>
        </w:rPr>
      </w:r>
      <w:r/>
    </w:p>
    <w:p>
      <w:pPr>
        <w:pStyle w:val="915"/>
        <w:ind w:right="480" w:firstLine="4560"/>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5"/>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15"/>
        <w:ind w:firstLine="480"/>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5"/>
        <w:ind w:firstLine="480"/>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5"/>
        <w:ind w:firstLine="480"/>
        <w:rPr>
          <w:rFonts w:hint="eastAsia" w:ascii="宋体" w:hAnsi="宋体"/>
          <w:sz w:val="24"/>
        </w:rPr>
      </w:pPr>
      <w:r>
        <w:rPr>
          <w:rFonts w:hint="eastAsia" w:ascii="宋体" w:hAnsi="宋体"/>
          <w:sz w:val="24"/>
        </w:rPr>
      </w:r>
      <w:r/>
    </w:p>
    <w:p>
      <w:pPr>
        <w:pStyle w:val="915"/>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5"/>
        <w:ind w:firstLine="624"/>
        <w:rPr>
          <w:rFonts w:ascii="仿宋_GB2312" w:eastAsia="仿宋_GB2312"/>
          <w:spacing w:val="6"/>
          <w:sz w:val="30"/>
          <w:szCs w:val="30"/>
        </w:rPr>
      </w:pPr>
      <w:r>
        <w:rPr>
          <w:rFonts w:ascii="仿宋_GB2312" w:eastAsia="仿宋_GB2312"/>
          <w:spacing w:val="6"/>
          <w:sz w:val="30"/>
          <w:szCs w:val="30"/>
        </w:rPr>
      </w:r>
      <w:r/>
    </w:p>
    <w:p>
      <w:pPr>
        <w:pStyle w:val="915"/>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2" w:name="_Toc29787_WPSOffice_Level1"/>
      <w:r>
        <w:rPr>
          <w:rFonts w:hint="eastAsia" w:ascii="宋体" w:hAnsi="宋体"/>
          <w:sz w:val="24"/>
        </w:rPr>
        <w:t xml:space="preserve">供应商全称（加盖CA电子公章）：</w:t>
      </w:r>
      <w:bookmarkEnd w:id="242"/>
      <w:r>
        <w:rPr>
          <w:rFonts w:ascii="宋体" w:hAnsi="宋体"/>
          <w:sz w:val="24"/>
        </w:rPr>
      </w:r>
      <w:r/>
    </w:p>
    <w:p>
      <w:pPr>
        <w:pStyle w:val="915"/>
        <w:ind w:right="1560" w:firstLine="480"/>
        <w:jc w:val="center"/>
        <w:tabs>
          <w:tab w:val="left" w:pos="4860" w:leader="none"/>
        </w:tabs>
        <w:rPr>
          <w:rFonts w:ascii="宋体" w:hAnsi="宋体"/>
          <w:sz w:val="24"/>
        </w:rPr>
      </w:pPr>
      <w:r>
        <w:rPr>
          <w:rFonts w:hint="eastAsia" w:ascii="宋体" w:hAnsi="宋体"/>
          <w:sz w:val="24"/>
        </w:rPr>
        <w:t xml:space="preserve">        </w:t>
      </w:r>
      <w:bookmarkStart w:id="243" w:name="_Toc4460_WPSOffice_Level1"/>
      <w:r>
        <w:rPr>
          <w:rFonts w:hint="eastAsia" w:ascii="宋体" w:hAnsi="宋体"/>
          <w:sz w:val="24"/>
        </w:rPr>
        <w:t xml:space="preserve">日  期：</w:t>
      </w:r>
      <w:bookmarkEnd w:id="243"/>
      <w:r>
        <w:rPr>
          <w:rFonts w:ascii="宋体" w:hAnsi="宋体"/>
          <w:sz w:val="24"/>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5"/>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5"/>
        <w:ind w:firstLine="645"/>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5"/>
        <w:ind w:firstLine="645"/>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5"/>
        <w:ind w:firstLine="645"/>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5"/>
        <w:ind w:firstLine="645"/>
        <w:rPr>
          <w:rFonts w:hint="eastAsia" w:ascii="宋体" w:hAnsi="宋体"/>
          <w:sz w:val="24"/>
        </w:rPr>
      </w:pPr>
      <w:r>
        <w:rPr>
          <w:rFonts w:hint="eastAsia" w:ascii="宋体" w:hAnsi="宋体"/>
          <w:sz w:val="24"/>
        </w:rPr>
      </w:r>
      <w:r/>
    </w:p>
    <w:p>
      <w:pPr>
        <w:pStyle w:val="915"/>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5"/>
        <w:ind w:firstLine="645"/>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5"/>
        <w:ind w:firstLine="645"/>
        <w:jc w:val="center"/>
        <w:rPr>
          <w:rFonts w:ascii="宋体" w:hAnsi="宋体"/>
          <w:sz w:val="24"/>
        </w:rPr>
      </w:pPr>
      <w:r>
        <w:rPr>
          <w:rFonts w:hint="eastAsia" w:ascii="宋体" w:hAnsi="宋体"/>
          <w:sz w:val="24"/>
        </w:rPr>
        <w:t xml:space="preserve">                            </w:t>
      </w:r>
      <w:bookmarkStart w:id="244" w:name="_Toc29931_WPSOffice_Level1"/>
      <w:r>
        <w:rPr>
          <w:rFonts w:hint="eastAsia" w:ascii="宋体" w:hAnsi="宋体"/>
          <w:sz w:val="24"/>
        </w:rPr>
        <w:t xml:space="preserve">联合体中各供应商全称（公章）：</w:t>
      </w:r>
      <w:bookmarkEnd w:id="244"/>
      <w:r>
        <w:rPr>
          <w:rFonts w:ascii="宋体" w:hAnsi="宋体"/>
          <w:sz w:val="24"/>
        </w:rPr>
        <w:t xml:space="preserve">     </w:t>
      </w:r>
      <w:r>
        <w:rPr>
          <w:rFonts w:ascii="宋体" w:hAnsi="宋体"/>
          <w:sz w:val="24"/>
        </w:rPr>
      </w:r>
      <w:r/>
    </w:p>
    <w:p>
      <w:pPr>
        <w:pStyle w:val="915"/>
        <w:ind w:firstLine="645"/>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5"/>
        <w:ind w:firstLine="645"/>
        <w:rPr>
          <w:rFonts w:hint="eastAsia" w:ascii="宋体" w:hAnsi="宋体"/>
          <w:sz w:val="24"/>
        </w:rPr>
      </w:pPr>
      <w:r>
        <w:rPr>
          <w:rFonts w:hint="eastAsia" w:ascii="宋体" w:hAnsi="宋体"/>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ascii="黑体" w:hAnsi="黑体" w:eastAsia="黑体"/>
          <w:b/>
          <w:i/>
          <w:sz w:val="32"/>
          <w:szCs w:val="32"/>
          <w:u w:val="single"/>
        </w:rPr>
      </w:r>
      <w:r/>
    </w:p>
    <w:tbl>
      <w:tblPr>
        <w:tblW w:w="0" w:type="auto"/>
        <w:tblInd w:w="-226" w:type="dxa"/>
        <w:tblLayout w:type="fixed"/>
        <w:tblCellMar>
          <w:left w:w="108" w:type="dxa"/>
          <w:top w:w="0" w:type="dxa"/>
          <w:right w:w="108" w:type="dxa"/>
          <w:bottom w:w="0" w:type="dxa"/>
        </w:tblCellMar>
        <w:tblLook w:val="04A0" w:firstRow="1" w:lastRow="0" w:firstColumn="1" w:lastColumn="0" w:noHBand="0" w:noVBand="1"/>
      </w:tblPr>
      <w:tblGrid>
        <w:gridCol w:w="606"/>
        <w:gridCol w:w="2052"/>
        <w:gridCol w:w="859"/>
        <w:gridCol w:w="1008"/>
        <w:gridCol w:w="578"/>
        <w:gridCol w:w="709"/>
        <w:gridCol w:w="567"/>
        <w:gridCol w:w="709"/>
        <w:gridCol w:w="709"/>
        <w:gridCol w:w="708"/>
      </w:tblGrid>
      <w:tr>
        <w:trPr>
          <w:trHeight w:val="465"/>
        </w:trPr>
        <w:tc>
          <w:tcPr>
            <w:tcBorders>
              <w:top w:val="single" w:color="000000" w:sz="8"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 内容</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品牌</w:t>
            </w:r>
            <w:r>
              <w:rPr>
                <w:rFonts w:ascii="宋体" w:hAnsi="宋体" w:cs="宋体"/>
                <w:b/>
                <w:bCs/>
                <w:color w:val="000000"/>
                <w:sz w:val="18"/>
                <w:szCs w:val="18"/>
              </w:rPr>
            </w:r>
            <w:r/>
          </w:p>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（若有）</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规格型号（若有）</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w:t>
            </w:r>
            <w:r>
              <w:rPr>
                <w:rFonts w:ascii="宋体" w:hAnsi="宋体" w:cs="宋体"/>
                <w:b/>
                <w:bCs/>
                <w:color w:val="000000"/>
                <w:sz w:val="18"/>
                <w:szCs w:val="18"/>
              </w:rPr>
            </w:r>
            <w:r/>
          </w:p>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参数</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产地</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数量</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单价</w:t>
            </w:r>
            <w:r>
              <w:rPr>
                <w:rFonts w:ascii="宋体" w:hAnsi="宋体" w:cs="宋体"/>
                <w:b/>
                <w:bCs/>
                <w:color w:val="000000"/>
                <w:sz w:val="18"/>
                <w:szCs w:val="18"/>
              </w:rPr>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r>
      <w:tr>
        <w:trPr>
          <w:trHeight w:val="14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医疗业务定制</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套</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4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医护终端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医用床头终端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849</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65"/>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医用床旁交互终端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42</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悬臂支架</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42</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6</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医用门口终端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322</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56"/>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7</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病区人脸识别终端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8</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卫生间终端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296</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9</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值班室分机</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9"/>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10</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移动通讯终端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6</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9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走廊发布终端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50</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73"/>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两线接收模块</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1335</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15"/>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IP两线主控终端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50</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病区智能交互终端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26</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31"/>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定位胸卡</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张</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250</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定位信标</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颗</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550</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174"/>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智能物联网络终端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个</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50</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网络多媒体控制器</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247</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8路编码器</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病房患者服务部分布线实施安装服务</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套</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21</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IAI辅助评价系统</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套</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22</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医护交互终端</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个</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150</w:t>
            </w: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4" w:space="0"/>
              <w:right w:val="single" w:color="000000" w:sz="8"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23</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智能药品管控终端</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85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10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57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台</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8" w:space="0"/>
            </w:tcBorders>
            <w:tcW w:w="7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输液监控终端</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5"/>
              <w:jc w:val="center"/>
              <w:widowControl/>
              <w:rPr>
                <w:rFonts w:ascii="宋体" w:hAnsi="宋体" w:cs="宋体"/>
                <w:color w:val="000000"/>
                <w:sz w:val="18"/>
                <w:szCs w:val="18"/>
              </w:rPr>
            </w:pPr>
            <w:r>
              <w:rPr>
                <w:rFonts w:hint="eastAsia" w:ascii="宋体" w:hAnsi="宋体" w:cs="宋体"/>
                <w:color w:val="000000"/>
                <w:sz w:val="18"/>
                <w:szCs w:val="18"/>
              </w:rPr>
              <w:t xml:space="preserve">40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15"/>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vAlign w:val="top"/>
            <w:textDirection w:val="lrTb"/>
            <w:noWrap w:val="false"/>
          </w:tcPr>
          <w:p>
            <w:pPr>
              <w:pStyle w:val="915"/>
              <w:rPr>
                <w:rFonts w:hint="eastAsia"/>
              </w:rPr>
            </w:pPr>
            <w:r>
              <w:rPr>
                <w:rFonts w:hint="eastAsia"/>
              </w:rPr>
              <w:t xml:space="preserve">25</w:t>
            </w:r>
            <w:r>
              <w:rPr>
                <w:rFonts w:hint="eastAsia"/>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915"/>
              <w:rPr>
                <w:rFonts w:hint="eastAsia"/>
              </w:rPr>
            </w:pPr>
            <w:r>
              <w:rPr>
                <w:rFonts w:hint="eastAsia"/>
              </w:rPr>
              <w:t xml:space="preserve">zigbee无线物联网网络终端</w:t>
            </w:r>
            <w:r>
              <w:rPr>
                <w:rFonts w:hint="eastAsia"/>
              </w:rPr>
            </w:r>
            <w:r/>
          </w:p>
        </w:tc>
        <w:tc>
          <w:tcPr>
            <w:tcBorders>
              <w:top w:val="single" w:color="000000" w:sz="4" w:space="0"/>
              <w:left w:val="single" w:color="000000" w:sz="4" w:space="0"/>
              <w:bottom w:val="single" w:color="000000" w:sz="4" w:space="0"/>
              <w:right w:val="single" w:color="000000" w:sz="4" w:space="0"/>
            </w:tcBorders>
            <w:tcW w:w="859" w:type="dxa"/>
            <w:vAlign w:val="top"/>
            <w:textDirection w:val="lrTb"/>
            <w:noWrap w:val="false"/>
          </w:tcPr>
          <w:p>
            <w:pPr>
              <w:pStyle w:val="915"/>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08" w:type="dxa"/>
            <w:vAlign w:val="top"/>
            <w:textDirection w:val="lrTb"/>
            <w:noWrap w:val="false"/>
          </w:tcPr>
          <w:p>
            <w:pPr>
              <w:pStyle w:val="915"/>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578" w:type="dxa"/>
            <w:vAlign w:val="top"/>
            <w:textDirection w:val="lrTb"/>
            <w:noWrap w:val="false"/>
          </w:tcPr>
          <w:p>
            <w:pPr>
              <w:pStyle w:val="915"/>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15"/>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pStyle w:val="915"/>
              <w:rPr>
                <w:rFonts w:hint="eastAsia"/>
              </w:rPr>
            </w:pPr>
            <w:r>
              <w:rPr>
                <w:rFonts w:hint="eastAsia"/>
              </w:rPr>
              <w:t xml:space="preserve">个</w:t>
            </w:r>
            <w:r>
              <w:rPr>
                <w:rFonts w:hint="eastAsia"/>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15"/>
              <w:rPr>
                <w:rFonts w:hint="eastAsia"/>
              </w:rPr>
            </w:pPr>
            <w:r>
              <w:rPr>
                <w:rFonts w:hint="eastAsia"/>
              </w:rPr>
              <w:t xml:space="preserve">20</w:t>
            </w:r>
            <w:r>
              <w:rPr>
                <w:rFonts w:hint="eastAsia"/>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15"/>
              <w:rPr>
                <w:rFonts w:hint="eastAsia"/>
              </w:rPr>
            </w:pPr>
            <w:r>
              <w:rPr>
                <w:rFonts w:hint="eastAsia"/>
              </w:rPr>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15"/>
              <w:rPr>
                <w:rFonts w:hint="eastAsia"/>
              </w:rPr>
            </w:pPr>
            <w:r>
              <w:rPr>
                <w:rFonts w:hint="eastAsia"/>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vAlign w:val="top"/>
            <w:textDirection w:val="lrTb"/>
            <w:noWrap w:val="false"/>
          </w:tcPr>
          <w:p>
            <w:pPr>
              <w:pStyle w:val="915"/>
              <w:rPr>
                <w:rFonts w:hint="eastAsia"/>
              </w:rPr>
            </w:pPr>
            <w:r>
              <w:rPr>
                <w:rFonts w:hint="eastAsia"/>
              </w:rPr>
              <w:t xml:space="preserve">26</w:t>
            </w:r>
            <w:r>
              <w:rPr>
                <w:rFonts w:hint="eastAsia"/>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915"/>
              <w:rPr>
                <w:rFonts w:hint="eastAsia"/>
              </w:rPr>
            </w:pPr>
            <w:r>
              <w:rPr>
                <w:rFonts w:hint="eastAsia"/>
              </w:rPr>
              <w:t xml:space="preserve">实施部署服务（综合布线服务、交换机与设备服务、调试与培训等内容）</w:t>
            </w:r>
            <w:r>
              <w:rPr>
                <w:rFonts w:hint="eastAsia"/>
              </w:rPr>
            </w:r>
            <w:r/>
          </w:p>
        </w:tc>
        <w:tc>
          <w:tcPr>
            <w:tcBorders>
              <w:top w:val="single" w:color="000000" w:sz="4" w:space="0"/>
              <w:left w:val="single" w:color="000000" w:sz="4" w:space="0"/>
              <w:bottom w:val="single" w:color="000000" w:sz="4" w:space="0"/>
              <w:right w:val="single" w:color="000000" w:sz="4" w:space="0"/>
            </w:tcBorders>
            <w:tcW w:w="859" w:type="dxa"/>
            <w:vAlign w:val="top"/>
            <w:textDirection w:val="lrTb"/>
            <w:noWrap w:val="false"/>
          </w:tcPr>
          <w:p>
            <w:pPr>
              <w:pStyle w:val="915"/>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008" w:type="dxa"/>
            <w:vAlign w:val="top"/>
            <w:textDirection w:val="lrTb"/>
            <w:noWrap w:val="false"/>
          </w:tcPr>
          <w:p>
            <w:pPr>
              <w:pStyle w:val="915"/>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578" w:type="dxa"/>
            <w:vAlign w:val="top"/>
            <w:textDirection w:val="lrTb"/>
            <w:noWrap w:val="false"/>
          </w:tcPr>
          <w:p>
            <w:pPr>
              <w:pStyle w:val="915"/>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15"/>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pStyle w:val="915"/>
              <w:rPr>
                <w:rFonts w:hint="eastAsia"/>
              </w:rPr>
            </w:pPr>
            <w:r>
              <w:rPr>
                <w:rFonts w:hint="eastAsia"/>
              </w:rPr>
              <w:t xml:space="preserve">套</w:t>
            </w:r>
            <w:r>
              <w:rPr>
                <w:rFonts w:hint="eastAsia"/>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15"/>
              <w:rPr>
                <w:rFonts w:hint="eastAsia"/>
              </w:rPr>
            </w:pPr>
            <w:r>
              <w:rPr>
                <w:rFonts w:hint="eastAsia"/>
              </w:rP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15"/>
              <w:rPr>
                <w:rFonts w:hint="eastAsia"/>
              </w:rPr>
            </w:pPr>
            <w:r>
              <w:rPr>
                <w:rFonts w:hint="eastAsia"/>
              </w:rPr>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15"/>
            </w:pPr>
            <w:r/>
            <w:r/>
          </w:p>
        </w:tc>
      </w:tr>
      <w:tr>
        <w:trPr>
          <w:trHeight w:val="90"/>
        </w:trPr>
        <w:tc>
          <w:tcPr>
            <w:gridSpan w:val="10"/>
            <w:tcBorders>
              <w:top w:val="single" w:color="000000" w:sz="4" w:space="0"/>
              <w:left w:val="single" w:color="000000" w:sz="4" w:space="0"/>
              <w:bottom w:val="single" w:color="000000" w:sz="4" w:space="0"/>
              <w:right w:val="single" w:color="000000" w:sz="4" w:space="0"/>
            </w:tcBorders>
            <w:tcW w:w="8505" w:type="dxa"/>
            <w:vAlign w:val="top"/>
            <w:textDirection w:val="lrTb"/>
            <w:noWrap w:val="false"/>
          </w:tcPr>
          <w:p>
            <w:pPr>
              <w:pStyle w:val="915"/>
            </w:pPr>
            <w:r>
              <w:rPr>
                <w:rFonts w:hint="eastAsia"/>
              </w:rPr>
              <w:t xml:space="preserve">　投标总报价（人民币：元）</w:t>
            </w:r>
            <w:r/>
          </w:p>
        </w:tc>
      </w:tr>
    </w:tbl>
    <w:p>
      <w:pPr>
        <w:pStyle w:val="915"/>
        <w:jc w:val="center"/>
        <w:rPr>
          <w:rFonts w:hint="eastAsia" w:ascii="黑体" w:hAnsi="黑体" w:eastAsia="黑体"/>
          <w:b/>
          <w:i/>
          <w:sz w:val="32"/>
          <w:szCs w:val="32"/>
          <w:u w:val="single"/>
        </w:rPr>
      </w:pPr>
      <w:r>
        <w:rPr>
          <w:rFonts w:hint="eastAsia" w:ascii="黑体" w:hAnsi="黑体" w:eastAsia="黑体"/>
          <w:b/>
          <w:i/>
          <w:sz w:val="32"/>
          <w:szCs w:val="32"/>
          <w:u w:val="single"/>
        </w:rPr>
      </w:r>
      <w:r/>
    </w:p>
    <w:p>
      <w:pPr>
        <w:pStyle w:val="91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15"/>
        <w:rPr>
          <w:rFonts w:hint="eastAsia" w:ascii="宋体" w:hAnsi="宋体"/>
          <w:sz w:val="24"/>
          <w:szCs w:val="24"/>
        </w:rPr>
      </w:pPr>
      <w:r>
        <w:rPr>
          <w:rFonts w:hint="eastAsia" w:ascii="宋体" w:hAnsi="宋体"/>
          <w:sz w:val="24"/>
          <w:szCs w:val="24"/>
        </w:rPr>
        <w:t xml:space="preserve">1.投标报价包含与本项目相关的所有费用（包括货款、运输费、基础费、保险费、安装费、检测费等，所有费用均计入投标报价中）。</w:t>
      </w:r>
      <w:r>
        <w:rPr>
          <w:rFonts w:hint="eastAsia" w:ascii="宋体" w:hAnsi="宋体"/>
          <w:sz w:val="24"/>
          <w:szCs w:val="24"/>
        </w:rPr>
      </w:r>
      <w:r/>
    </w:p>
    <w:p>
      <w:pPr>
        <w:pStyle w:val="915"/>
        <w:rPr>
          <w:rFonts w:hint="eastAsia" w:ascii="宋体" w:hAnsi="宋体"/>
          <w:sz w:val="24"/>
          <w:szCs w:val="24"/>
          <w:u w:val="single"/>
        </w:rPr>
      </w:pPr>
      <w:r>
        <w:rPr>
          <w:rFonts w:hint="eastAsia" w:ascii="宋体" w:hAnsi="宋体"/>
          <w:sz w:val="24"/>
          <w:szCs w:val="24"/>
        </w:rPr>
        <w:t xml:space="preserve">2.表中未列出而供应商认为满足功能和参数条件下需要单独列出的报价项目，供应商可增加列出，并计入“报价合计”中。</w:t>
      </w:r>
      <w:r>
        <w:rPr>
          <w:rFonts w:hint="eastAsia" w:ascii="宋体" w:hAnsi="宋体"/>
          <w:sz w:val="24"/>
          <w:szCs w:val="24"/>
          <w:u w:val="single"/>
        </w:rPr>
      </w:r>
      <w:r/>
    </w:p>
    <w:p>
      <w:pPr>
        <w:pStyle w:val="915"/>
        <w:rPr>
          <w:rFonts w:hint="eastAsia" w:ascii="宋体" w:hAnsi="宋体"/>
          <w:sz w:val="24"/>
          <w:szCs w:val="24"/>
        </w:rPr>
      </w:pPr>
      <w:r>
        <w:rPr>
          <w:rFonts w:hint="eastAsia" w:ascii="宋体" w:hAnsi="宋体"/>
          <w:sz w:val="24"/>
          <w:szCs w:val="24"/>
        </w:rPr>
        <w:t xml:space="preserve">3.行数不够，可自行添加。</w:t>
      </w:r>
      <w:r>
        <w:rPr>
          <w:rFonts w:hint="eastAsia" w:ascii="宋体" w:hAnsi="宋体"/>
          <w:sz w:val="24"/>
          <w:szCs w:val="24"/>
        </w:rPr>
      </w:r>
      <w:r/>
    </w:p>
    <w:p>
      <w:pPr>
        <w:pStyle w:val="915"/>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bl>
    <w:p>
      <w:pPr>
        <w:pStyle w:val="91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jc w:val="center"/>
        <w:rPr>
          <w:rFonts w:hint="eastAsia" w:ascii="黑体" w:hAnsi="黑体" w:eastAsia="黑体"/>
          <w:b/>
          <w:sz w:val="32"/>
          <w:szCs w:val="32"/>
        </w:rPr>
      </w:pPr>
      <w:r/>
      <w:bookmarkEnd w:id="230"/>
      <w:r/>
      <w:bookmarkStart w:id="245" w:name="_Hlt26955054"/>
      <w:r/>
      <w:bookmarkEnd w:id="24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color w:val="000000"/>
                <w:sz w:val="24"/>
              </w:rPr>
            </w:pPr>
            <w:r/>
            <w:bookmarkStart w:id="246" w:name="_Hlt24879081"/>
            <w:r/>
            <w:bookmarkEnd w:id="246"/>
            <w:r/>
            <w:bookmarkStart w:id="247" w:name="_Hlt26671343"/>
            <w:r/>
            <w:bookmarkEnd w:id="247"/>
            <w:r/>
            <w:bookmarkStart w:id="248" w:name="_Hlt26955064"/>
            <w:r/>
            <w:bookmarkEnd w:id="248"/>
            <w:r/>
            <w:bookmarkStart w:id="249" w:name="_Hlt26782999"/>
            <w:r/>
            <w:bookmarkEnd w:id="249"/>
            <w:r/>
            <w:bookmarkStart w:id="250" w:name="_Hlt26609391"/>
            <w:r/>
            <w:bookmarkEnd w:id="250"/>
            <w:r/>
            <w:bookmarkStart w:id="251" w:name="_Hlt26955056"/>
            <w:r/>
            <w:bookmarkEnd w:id="251"/>
            <w:r/>
            <w:bookmarkStart w:id="252" w:name="_Hlt26580838"/>
            <w:r/>
            <w:bookmarkEnd w:id="252"/>
            <w:r/>
            <w:bookmarkStart w:id="253" w:name="_Hlt26671372"/>
            <w:r/>
            <w:bookmarkEnd w:id="253"/>
            <w:r>
              <w:rPr>
                <w:rFonts w:hint="eastAsia"/>
                <w:b/>
                <w:color w:val="000000"/>
                <w:sz w:val="24"/>
              </w:rPr>
              <w:t xml:space="preserve">对本项目商务要求条款的偏离情况（请进行勾选）：</w:t>
            </w:r>
            <w:r>
              <w:rPr>
                <w:b/>
                <w:color w:val="000000"/>
                <w:sz w:val="24"/>
              </w:rPr>
            </w:r>
            <w:r/>
          </w:p>
          <w:p>
            <w:pPr>
              <w:pStyle w:val="9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bl>
    <w:p>
      <w:pPr>
        <w:pStyle w:val="91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5"/>
        <w:rPr>
          <w:rFonts w:hint="eastAsia" w:ascii="宋体" w:hAnsi="宋体"/>
          <w:sz w:val="24"/>
        </w:rPr>
      </w:pPr>
      <w:r>
        <w:rPr>
          <w:rFonts w:hint="eastAsia" w:ascii="宋体" w:hAnsi="宋体"/>
          <w:sz w:val="24"/>
        </w:rPr>
      </w:r>
      <w:r/>
    </w:p>
    <w:p>
      <w:pPr>
        <w:pStyle w:val="915"/>
        <w:rPr>
          <w:rFonts w:hint="eastAsia" w:ascii="仿宋_GB2312" w:hAnsi="Arial"/>
          <w:sz w:val="30"/>
        </w:rPr>
      </w:pPr>
      <w:r>
        <w:rPr>
          <w:rFonts w:hint="eastAsia" w:ascii="仿宋_GB2312" w:hAnsi="Arial"/>
          <w:sz w:val="30"/>
        </w:rPr>
      </w:r>
      <w:r/>
    </w:p>
    <w:p>
      <w:pPr>
        <w:pStyle w:val="1000"/>
        <w:ind w:firstLine="0"/>
        <w:rPr>
          <w:rFonts w:hint="eastAsia" w:ascii="宋体" w:hAnsi="宋体"/>
          <w:sz w:val="24"/>
        </w:rPr>
      </w:pPr>
      <w:r/>
      <w:bookmarkStart w:id="254" w:name="_Hlt26609389"/>
      <w:r/>
      <w:bookmarkEnd w:id="254"/>
      <w:r/>
      <w:bookmarkStart w:id="255" w:name="_Hlt26955066"/>
      <w:r/>
      <w:bookmarkEnd w:id="255"/>
      <w:r/>
      <w:bookmarkStart w:id="256" w:name="_Hlt26671374"/>
      <w:r/>
      <w:bookmarkEnd w:id="256"/>
      <w:r/>
      <w:bookmarkStart w:id="257" w:name="_Toc462564146"/>
      <w:r>
        <w:rPr>
          <w:rFonts w:hint="eastAsia" w:ascii="宋体" w:hAnsi="宋体"/>
          <w:sz w:val="24"/>
        </w:rPr>
      </w:r>
      <w:r/>
    </w:p>
    <w:p>
      <w:pPr>
        <w:pStyle w:val="915"/>
        <w:jc w:val="center"/>
        <w:rPr>
          <w:rFonts w:hint="eastAsia" w:ascii="黑体" w:hAnsi="黑体" w:eastAsia="黑体"/>
          <w:b/>
          <w:sz w:val="32"/>
          <w:szCs w:val="32"/>
        </w:rPr>
      </w:pPr>
      <w:r/>
      <w:bookmarkEnd w:id="200"/>
      <w:r/>
      <w:bookmarkEnd w:id="201"/>
      <w:r/>
      <w:bookmarkEnd w:id="257"/>
      <w:r/>
      <w:bookmarkStart w:id="258" w:name="_格式2__法定代表人授权书"/>
      <w:r/>
      <w:bookmarkEnd w:id="258"/>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5"/>
        <w:ind w:firstLine="480"/>
        <w:rPr>
          <w:sz w:val="24"/>
          <w:szCs w:val="24"/>
        </w:rPr>
      </w:pPr>
      <w:r>
        <w:rPr>
          <w:rFonts w:hint="eastAsia" w:ascii="宋体" w:hAnsi="宋体"/>
          <w:sz w:val="24"/>
          <w:szCs w:val="24"/>
        </w:rPr>
        <w:t xml:space="preserve">项目名称：</w:t>
      </w:r>
      <w:r>
        <w:rPr>
          <w:sz w:val="24"/>
          <w:szCs w:val="24"/>
        </w:rPr>
      </w:r>
      <w:r/>
    </w:p>
    <w:p>
      <w:pPr>
        <w:pStyle w:val="91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23"/>
              <w:ind w:firstLine="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5"/>
        <w:rPr>
          <w:rFonts w:ascii="宋体" w:hAnsi="宋体"/>
          <w:sz w:val="24"/>
          <w:szCs w:val="24"/>
        </w:rPr>
      </w:pPr>
      <w:r>
        <w:rPr>
          <w:rFonts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15"/>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619"/>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ascii="宋体" w:hAnsi="宋体" w:cs="仿宋"/>
          <w:b/>
          <w:bCs/>
          <w:sz w:val="32"/>
          <w:szCs w:val="32"/>
        </w:rPr>
      </w:pPr>
      <w:r/>
      <w:bookmarkStart w:id="259" w:name="_Toc11787_WPSOffice_Level1"/>
      <w:r>
        <w:rPr>
          <w:rFonts w:hint="eastAsia" w:ascii="宋体" w:hAnsi="宋体" w:cs="仿宋"/>
          <w:b/>
          <w:bCs/>
          <w:sz w:val="32"/>
          <w:szCs w:val="32"/>
        </w:rPr>
        <w:t xml:space="preserve">质疑函范本</w:t>
      </w:r>
      <w:bookmarkEnd w:id="259"/>
      <w:r>
        <w:rPr>
          <w:rFonts w:ascii="宋体" w:hAnsi="宋体" w:cs="仿宋"/>
          <w:b/>
          <w:bCs/>
          <w:sz w:val="32"/>
          <w:szCs w:val="32"/>
        </w:rPr>
      </w:r>
      <w:r/>
    </w:p>
    <w:p>
      <w:pPr>
        <w:pStyle w:val="915"/>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5"/>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5"/>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5"/>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5"/>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5"/>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5"/>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5"/>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5"/>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5"/>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5"/>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5"/>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5"/>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5"/>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5"/>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hint="eastAsia" w:ascii="宋体" w:hAnsi="宋体"/>
          <w:b/>
          <w:sz w:val="24"/>
          <w:szCs w:val="24"/>
        </w:rPr>
      </w:pPr>
      <w:r>
        <w:rPr>
          <w:rFonts w:hint="eastAsia" w:ascii="宋体" w:hAnsi="宋体"/>
          <w:b/>
          <w:sz w:val="24"/>
          <w:szCs w:val="24"/>
        </w:rPr>
      </w:r>
      <w:r/>
    </w:p>
    <w:p>
      <w:pPr>
        <w:pStyle w:val="915"/>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5"/>
        <w:ind w:firstLine="480"/>
        <w:jc w:val="lef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5"/>
        <w:ind w:firstLine="480"/>
        <w:jc w:val="lef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5"/>
        <w:ind w:firstLine="480"/>
        <w:jc w:val="lef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5"/>
        <w:ind w:firstLine="480"/>
        <w:jc w:val="lef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5"/>
        <w:ind w:firstLine="480"/>
        <w:jc w:val="lef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5"/>
        <w:ind w:firstLine="480"/>
        <w:jc w:val="lef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00"/>
        <w:rPr>
          <w:rFonts w:hint="eastAsia"/>
          <w:sz w:val="24"/>
          <w:szCs w:val="24"/>
        </w:rPr>
      </w:pPr>
      <w:r>
        <w:rPr>
          <w:rFonts w:hint="eastAsia"/>
          <w:sz w:val="24"/>
          <w:szCs w:val="24"/>
        </w:rPr>
      </w:r>
      <w:r/>
    </w:p>
    <w:p>
      <w:pPr>
        <w:pStyle w:val="1000"/>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65 -</w:t>
    </w:r>
    <w:r>
      <w:fldChar w:fldCharType="end"/>
    </w:r>
    <w:r/>
  </w:p>
  <w:p>
    <w:pPr>
      <w:pStyle w:val="990"/>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66 -</w:t>
    </w:r>
    <w:r>
      <w:fldChar w:fldCharType="end"/>
    </w:r>
    <w:r/>
  </w:p>
  <w:p>
    <w:pPr>
      <w:pStyle w:val="990"/>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80 -</w:t>
    </w:r>
    <w:r>
      <w:fldChar w:fldCharType="end"/>
    </w:r>
    <w:r/>
  </w:p>
  <w:p>
    <w:pPr>
      <w:pStyle w:val="990"/>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5"/>
        <w:ind w:left="900" w:hanging="900"/>
        <w:tabs>
          <w:tab w:val="num" w:pos="900" w:leader="none"/>
        </w:tabs>
      </w:pPr>
      <w:rPr>
        <w:rFonts w:hint="eastAsia"/>
      </w:rPr>
    </w:lvl>
    <w:lvl w:ilvl="1">
      <w:start w:val="1"/>
      <w:numFmt w:val="decimal"/>
      <w:isLgl w:val="false"/>
      <w:suff w:val="tab"/>
      <w:lvlText w:val="%1.%2"/>
      <w:lvlJc w:val="left"/>
      <w:pPr>
        <w:pStyle w:val="91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5"/>
        <w:ind w:left="1980" w:hanging="900"/>
        <w:tabs>
          <w:tab w:val="num" w:pos="1980" w:leader="none"/>
        </w:tabs>
      </w:pPr>
      <w:rPr>
        <w:rFonts w:hint="eastAsia"/>
      </w:rPr>
    </w:lvl>
    <w:lvl w:ilvl="3">
      <w:start w:val="1"/>
      <w:numFmt w:val="decimal"/>
      <w:isLgl w:val="false"/>
      <w:suff w:val="tab"/>
      <w:lvlText w:val="%1.%2.%3.%4"/>
      <w:lvlJc w:val="left"/>
      <w:pPr>
        <w:pStyle w:val="915"/>
        <w:ind w:left="900" w:hanging="900"/>
        <w:tabs>
          <w:tab w:val="num" w:pos="900" w:leader="none"/>
        </w:tabs>
      </w:pPr>
      <w:rPr>
        <w:rFonts w:hint="eastAsia"/>
      </w:rPr>
    </w:lvl>
    <w:lvl w:ilvl="4">
      <w:start w:val="1"/>
      <w:numFmt w:val="decimal"/>
      <w:isLgl w:val="false"/>
      <w:suff w:val="tab"/>
      <w:lvlText w:val="%1.%2.%3.%4.%5"/>
      <w:lvlJc w:val="left"/>
      <w:pPr>
        <w:pStyle w:val="915"/>
        <w:ind w:left="900" w:hanging="900"/>
        <w:tabs>
          <w:tab w:val="num" w:pos="900" w:leader="none"/>
        </w:tabs>
      </w:pPr>
      <w:rPr>
        <w:rFonts w:hint="eastAsia"/>
      </w:rPr>
    </w:lvl>
    <w:lvl w:ilvl="5">
      <w:start w:val="1"/>
      <w:numFmt w:val="decimal"/>
      <w:isLgl w:val="false"/>
      <w:suff w:val="tab"/>
      <w:lvlText w:val="%1.%2.%3.%4.%5.%6"/>
      <w:lvlJc w:val="left"/>
      <w:pPr>
        <w:pStyle w:val="915"/>
        <w:ind w:left="900" w:hanging="900"/>
        <w:tabs>
          <w:tab w:val="num" w:pos="900" w:leader="none"/>
        </w:tabs>
      </w:pPr>
      <w:rPr>
        <w:rFonts w:hint="eastAsia"/>
      </w:rPr>
    </w:lvl>
    <w:lvl w:ilvl="6">
      <w:start w:val="1"/>
      <w:numFmt w:val="decimal"/>
      <w:isLgl w:val="false"/>
      <w:suff w:val="tab"/>
      <w:lvlText w:val="%1.%2.%3.%4.%5.%6.%7"/>
      <w:lvlJc w:val="left"/>
      <w:pPr>
        <w:pStyle w:val="915"/>
        <w:ind w:left="900" w:hanging="900"/>
        <w:tabs>
          <w:tab w:val="num" w:pos="900" w:leader="none"/>
        </w:tabs>
      </w:pPr>
      <w:rPr>
        <w:rFonts w:hint="eastAsia"/>
      </w:rPr>
    </w:lvl>
    <w:lvl w:ilvl="7">
      <w:start w:val="1"/>
      <w:numFmt w:val="decimal"/>
      <w:isLgl w:val="false"/>
      <w:suff w:val="tab"/>
      <w:lvlText w:val="%1.%2.%3.%4.%5.%6.%7.%8"/>
      <w:lvlJc w:val="left"/>
      <w:pPr>
        <w:pStyle w:val="915"/>
        <w:ind w:left="900" w:hanging="900"/>
        <w:tabs>
          <w:tab w:val="num" w:pos="900" w:leader="none"/>
        </w:tabs>
      </w:pPr>
      <w:rPr>
        <w:rFonts w:hint="eastAsia"/>
      </w:rPr>
    </w:lvl>
    <w:lvl w:ilvl="8">
      <w:start w:val="1"/>
      <w:numFmt w:val="decimal"/>
      <w:isLgl w:val="false"/>
      <w:suff w:val="tab"/>
      <w:lvlText w:val="%1.%2.%3.%4.%5.%6.%7.%8.%9"/>
      <w:lvlJc w:val="left"/>
      <w:pPr>
        <w:pStyle w:val="915"/>
        <w:ind w:left="900" w:hanging="900"/>
        <w:tabs>
          <w:tab w:val="num" w:pos="900" w:leader="none"/>
        </w:tabs>
      </w:pPr>
      <w:rPr>
        <w:rFonts w:hint="eastAsia"/>
      </w:rPr>
    </w:lvl>
  </w:abstractNum>
  <w:abstractNum w:abstractNumId="3">
    <w:multiLevelType w:val="hybridMultilevel"/>
    <w:lvl w:ilvl="0">
      <w:start w:val="1"/>
      <w:numFmt w:val="upperLetter"/>
      <w:pStyle w:val="980"/>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15"/>
        <w:ind w:left="500" w:hanging="500"/>
      </w:p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abstractNum w:abstractNumId="5">
    <w:multiLevelType w:val="hybridMultilevel"/>
    <w:lvl w:ilvl="0">
      <w:start w:val="1"/>
      <w:numFmt w:val="decimal"/>
      <w:pStyle w:val="977"/>
      <w:isLgl w:val="false"/>
      <w:suff w:val="tab"/>
      <w:lvlText w:val="%1."/>
      <w:lvlJc w:val="left"/>
      <w:pPr>
        <w:pStyle w:val="915"/>
        <w:ind w:left="709" w:hanging="709"/>
        <w:tabs>
          <w:tab w:val="num" w:pos="709" w:leader="none"/>
        </w:tabs>
      </w:pPr>
      <w:rPr>
        <w:rFonts w:hint="eastAsia"/>
      </w:rPr>
    </w:lvl>
    <w:lvl w:ilvl="1">
      <w:start w:val="1"/>
      <w:numFmt w:val="decimal"/>
      <w:isLgl w:val="false"/>
      <w:suff w:val="tab"/>
      <w:lvlText w:val="%1.%2"/>
      <w:lvlJc w:val="left"/>
      <w:pPr>
        <w:pStyle w:val="915"/>
        <w:ind w:left="709" w:hanging="709"/>
        <w:tabs>
          <w:tab w:val="num" w:pos="709" w:leader="none"/>
        </w:tabs>
      </w:pPr>
      <w:rPr>
        <w:rFonts w:hint="eastAsia"/>
      </w:rPr>
    </w:lvl>
    <w:lvl w:ilvl="2">
      <w:start w:val="1"/>
      <w:numFmt w:val="decimal"/>
      <w:isLgl w:val="false"/>
      <w:suff w:val="tab"/>
      <w:lvlText w:val="%1.%2.%3."/>
      <w:lvlJc w:val="left"/>
      <w:pPr>
        <w:pStyle w:val="915"/>
        <w:ind w:left="425" w:hanging="425"/>
        <w:tabs>
          <w:tab w:val="num" w:pos="425" w:leader="none"/>
        </w:tabs>
      </w:pPr>
      <w:rPr>
        <w:rFonts w:hint="eastAsia"/>
      </w:rPr>
    </w:lvl>
    <w:lvl w:ilvl="3">
      <w:start w:val="1"/>
      <w:numFmt w:val="decimal"/>
      <w:isLgl w:val="false"/>
      <w:suff w:val="tab"/>
      <w:lvlText w:val="%1.%2.%3.%4."/>
      <w:lvlJc w:val="left"/>
      <w:pPr>
        <w:pStyle w:val="915"/>
        <w:ind w:left="851" w:hanging="851"/>
        <w:tabs>
          <w:tab w:val="num" w:pos="851" w:leader="none"/>
        </w:tabs>
      </w:pPr>
      <w:rPr>
        <w:rFonts w:hint="eastAsia"/>
      </w:rPr>
    </w:lvl>
    <w:lvl w:ilvl="4">
      <w:start w:val="1"/>
      <w:numFmt w:val="decimal"/>
      <w:isLgl w:val="false"/>
      <w:suff w:val="tab"/>
      <w:lvlText w:val="%1.%2.%3.%4.%5."/>
      <w:lvlJc w:val="left"/>
      <w:pPr>
        <w:pStyle w:val="915"/>
        <w:ind w:left="992" w:hanging="992"/>
        <w:tabs>
          <w:tab w:val="num" w:pos="992"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15"/>
        <w:ind w:left="0" w:firstLine="0"/>
      </w:pPr>
      <w:rPr>
        <w:rFonts w:hint="eastAsia"/>
      </w:rPr>
    </w:lvl>
    <w:lvl w:ilvl="1">
      <w:start w:val="1"/>
      <w:numFmt w:val="decimal"/>
      <w:isLgl w:val="false"/>
      <w:suff w:val="nothing"/>
      <w:lvlText w:val="%2、"/>
      <w:lvlJc w:val="left"/>
      <w:pPr>
        <w:pStyle w:val="915"/>
        <w:ind w:left="0" w:firstLine="0"/>
      </w:pPr>
      <w:rPr>
        <w:rFonts w:hint="eastAsia"/>
      </w:rPr>
    </w:lvl>
    <w:lvl w:ilvl="2">
      <w:start w:val="1"/>
      <w:numFmt w:val="decimal"/>
      <w:isLgl w:val="false"/>
      <w:suff w:val="nothing"/>
      <w:lvlText w:val="%2.%3 "/>
      <w:lvlJc w:val="left"/>
      <w:pPr>
        <w:pStyle w:val="915"/>
        <w:ind w:left="0" w:firstLine="0"/>
      </w:pPr>
      <w:rPr>
        <w:rFonts w:hint="eastAsia"/>
      </w:rPr>
    </w:lvl>
    <w:lvl w:ilvl="3">
      <w:start w:val="1"/>
      <w:numFmt w:val="decimal"/>
      <w:isLgl w:val="false"/>
      <w:suff w:val="nothing"/>
      <w:lvlText w:val="%2.%3.%4 "/>
      <w:lvlJc w:val="left"/>
      <w:pPr>
        <w:pStyle w:val="915"/>
        <w:ind w:left="0" w:firstLine="0"/>
      </w:pPr>
      <w:rPr>
        <w:rFonts w:hint="eastAsia"/>
      </w:rPr>
    </w:lvl>
    <w:lvl w:ilvl="4">
      <w:start w:val="1"/>
      <w:numFmt w:val="decimal"/>
      <w:isLgl w:val="false"/>
      <w:suff w:val="nothing"/>
      <w:lvlText w:val="%2.%3.%4.%5 "/>
      <w:lvlJc w:val="left"/>
      <w:pPr>
        <w:pStyle w:val="915"/>
        <w:ind w:left="0" w:firstLine="0"/>
      </w:pPr>
      <w:rPr>
        <w:rFonts w:hint="eastAsia"/>
      </w:rPr>
    </w:lvl>
    <w:lvl w:ilvl="5">
      <w:start w:val="1"/>
      <w:numFmt w:val="decimal"/>
      <w:pStyle w:val="921"/>
      <w:isLgl w:val="false"/>
      <w:suff w:val="nothing"/>
      <w:lvlText w:val=""/>
      <w:lvlJc w:val="left"/>
      <w:pPr>
        <w:pStyle w:val="915"/>
        <w:ind w:left="0" w:firstLine="0"/>
      </w:pPr>
      <w:rPr>
        <w:rFonts w:hint="eastAsia"/>
      </w:rPr>
    </w:lvl>
    <w:lvl w:ilvl="6">
      <w:start w:val="1"/>
      <w:numFmt w:val="decimal"/>
      <w:pStyle w:val="922"/>
      <w:isLgl w:val="false"/>
      <w:suff w:val="nothing"/>
      <w:lvlText w:val=""/>
      <w:lvlJc w:val="left"/>
      <w:pPr>
        <w:pStyle w:val="915"/>
        <w:ind w:left="0" w:firstLine="0"/>
      </w:pPr>
      <w:rPr>
        <w:rFonts w:hint="eastAsia"/>
      </w:rPr>
    </w:lvl>
    <w:lvl w:ilvl="7">
      <w:start w:val="1"/>
      <w:numFmt w:val="decimal"/>
      <w:pStyle w:val="923"/>
      <w:isLgl w:val="false"/>
      <w:suff w:val="nothing"/>
      <w:lvlText w:val=""/>
      <w:lvlJc w:val="left"/>
      <w:pPr>
        <w:pStyle w:val="915"/>
        <w:ind w:left="0" w:firstLine="0"/>
      </w:pPr>
      <w:rPr>
        <w:rFonts w:hint="eastAsia"/>
      </w:rPr>
    </w:lvl>
    <w:lvl w:ilvl="8">
      <w:start w:val="1"/>
      <w:numFmt w:val="decimal"/>
      <w:pStyle w:val="924"/>
      <w:isLgl w:val="false"/>
      <w:suff w:val="nothing"/>
      <w:lvlText w:val=""/>
      <w:lvlJc w:val="left"/>
      <w:pPr>
        <w:pStyle w:val="915"/>
        <w:ind w:left="0" w:firstLine="0"/>
      </w:pPr>
      <w:rPr>
        <w:rFonts w:hint="eastAsia"/>
      </w:rPr>
    </w:lvl>
  </w:abstractNum>
  <w:num w:numId="1">
    <w:abstractNumId w:val="6"/>
  </w:num>
  <w:num w:numId="2">
    <w:abstractNumId w:val="5"/>
  </w:num>
  <w:num w:numId="3">
    <w:abstractNumId w:val="3"/>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5"/>
    <w:next w:val="915"/>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5"/>
    <w:next w:val="915"/>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5"/>
    <w:next w:val="915"/>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5"/>
    <w:next w:val="915"/>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5"/>
    <w:next w:val="915"/>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5"/>
    <w:next w:val="91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5"/>
    <w:next w:val="91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5"/>
    <w:next w:val="91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5"/>
    <w:next w:val="91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915"/>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915"/>
    <w:next w:val="915"/>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915"/>
    <w:next w:val="915"/>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15"/>
    <w:next w:val="915"/>
    <w:link w:val="762"/>
    <w:uiPriority w:val="29"/>
    <w:qFormat/>
    <w:pPr>
      <w:ind w:left="720" w:right="720"/>
    </w:pPr>
    <w:rPr>
      <w:i/>
    </w:rPr>
  </w:style>
  <w:style w:type="character" w:styleId="762">
    <w:name w:val="Quote Char"/>
    <w:link w:val="761"/>
    <w:uiPriority w:val="29"/>
    <w:rPr>
      <w:i/>
    </w:rPr>
  </w:style>
  <w:style w:type="paragraph" w:styleId="763">
    <w:name w:val="Intense Quote"/>
    <w:basedOn w:val="915"/>
    <w:next w:val="91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15"/>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915"/>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15"/>
    <w:link w:val="915"/>
    <w:qFormat/>
    <w:pPr>
      <w:jc w:val="both"/>
      <w:widowControl w:val="off"/>
    </w:pPr>
    <w:rPr>
      <w:sz w:val="21"/>
      <w:szCs w:val="21"/>
      <w:lang w:val="en-US" w:eastAsia="zh-CN" w:bidi="ar-SA"/>
    </w:rPr>
  </w:style>
  <w:style w:type="paragraph" w:styleId="916">
    <w:name w:val="标题 1"/>
    <w:basedOn w:val="915"/>
    <w:next w:val="915"/>
    <w:link w:val="942"/>
    <w:qFormat/>
    <w:pPr>
      <w:jc w:val="center"/>
      <w:keepNext/>
      <w:outlineLvl w:val="0"/>
    </w:pPr>
    <w:rPr>
      <w:rFonts w:ascii="楷体_GB2312" w:eastAsia="楷体_GB2312"/>
      <w:sz w:val="28"/>
      <w:szCs w:val="28"/>
    </w:rPr>
  </w:style>
  <w:style w:type="paragraph" w:styleId="917">
    <w:name w:val="标题 2"/>
    <w:basedOn w:val="915"/>
    <w:next w:val="1000"/>
    <w:link w:val="950"/>
    <w:qFormat/>
    <w:pPr>
      <w:jc w:val="center"/>
      <w:keepLines/>
      <w:keepNext/>
      <w:spacing w:before="260" w:after="260" w:line="416" w:lineRule="auto"/>
      <w:outlineLvl w:val="1"/>
    </w:pPr>
    <w:rPr>
      <w:rFonts w:ascii="Arial" w:hAnsi="Arial" w:eastAsia="幼圆"/>
      <w:b/>
      <w:bCs/>
      <w:sz w:val="44"/>
      <w:szCs w:val="44"/>
    </w:rPr>
  </w:style>
  <w:style w:type="paragraph" w:styleId="918">
    <w:name w:val="标题 3"/>
    <w:basedOn w:val="915"/>
    <w:next w:val="1000"/>
    <w:link w:val="927"/>
    <w:qFormat/>
    <w:pPr>
      <w:keepLines/>
      <w:keepNext/>
      <w:spacing w:before="260" w:after="260" w:line="416" w:lineRule="auto"/>
      <w:outlineLvl w:val="2"/>
    </w:pPr>
    <w:rPr>
      <w:b/>
      <w:bCs/>
      <w:sz w:val="32"/>
      <w:szCs w:val="32"/>
    </w:rPr>
  </w:style>
  <w:style w:type="paragraph" w:styleId="919">
    <w:name w:val="标题 4"/>
    <w:basedOn w:val="915"/>
    <w:next w:val="1000"/>
    <w:link w:val="955"/>
    <w:qFormat/>
    <w:pPr>
      <w:keepLines/>
      <w:keepNext/>
      <w:spacing w:before="280" w:after="290" w:line="376" w:lineRule="auto"/>
      <w:outlineLvl w:val="3"/>
    </w:pPr>
    <w:rPr>
      <w:rFonts w:ascii="Arial" w:hAnsi="Arial" w:eastAsia="黑体"/>
      <w:b/>
      <w:bCs/>
      <w:sz w:val="28"/>
      <w:szCs w:val="28"/>
    </w:rPr>
  </w:style>
  <w:style w:type="paragraph" w:styleId="920">
    <w:name w:val="标题 5"/>
    <w:basedOn w:val="915"/>
    <w:next w:val="1000"/>
    <w:link w:val="940"/>
    <w:qFormat/>
    <w:pPr>
      <w:keepNext/>
      <w:outlineLvl w:val="4"/>
    </w:pPr>
    <w:rPr>
      <w:rFonts w:ascii="宋体"/>
      <w:color w:val="000000"/>
      <w:sz w:val="28"/>
      <w:szCs w:val="28"/>
    </w:rPr>
  </w:style>
  <w:style w:type="paragraph" w:styleId="921">
    <w:name w:val="标题 6"/>
    <w:basedOn w:val="915"/>
    <w:next w:val="915"/>
    <w:link w:val="937"/>
    <w:qFormat/>
    <w:pPr>
      <w:numPr>
        <w:ilvl w:val="5"/>
        <w:numId w:val="1"/>
      </w:numPr>
      <w:keepLines/>
      <w:keepNext/>
      <w:spacing w:before="240" w:after="64" w:line="320" w:lineRule="auto"/>
      <w:outlineLvl w:val="5"/>
    </w:pPr>
    <w:rPr>
      <w:rFonts w:ascii="Arial" w:hAnsi="Arial" w:eastAsia="黑体"/>
      <w:b/>
      <w:bCs/>
      <w:sz w:val="24"/>
      <w:szCs w:val="24"/>
    </w:rPr>
  </w:style>
  <w:style w:type="paragraph" w:styleId="922">
    <w:name w:val="标题 7"/>
    <w:basedOn w:val="915"/>
    <w:next w:val="915"/>
    <w:link w:val="941"/>
    <w:qFormat/>
    <w:pPr>
      <w:numPr>
        <w:ilvl w:val="6"/>
        <w:numId w:val="1"/>
      </w:numPr>
      <w:keepLines/>
      <w:keepNext/>
      <w:spacing w:before="240" w:after="64" w:line="320" w:lineRule="auto"/>
      <w:outlineLvl w:val="6"/>
    </w:pPr>
    <w:rPr>
      <w:b/>
      <w:bCs/>
      <w:sz w:val="24"/>
      <w:szCs w:val="24"/>
    </w:rPr>
  </w:style>
  <w:style w:type="paragraph" w:styleId="923">
    <w:name w:val="标题 8"/>
    <w:basedOn w:val="915"/>
    <w:next w:val="915"/>
    <w:link w:val="961"/>
    <w:qFormat/>
    <w:pPr>
      <w:numPr>
        <w:ilvl w:val="7"/>
        <w:numId w:val="1"/>
      </w:numPr>
      <w:keepLines/>
      <w:keepNext/>
      <w:spacing w:before="240" w:after="64" w:line="320" w:lineRule="auto"/>
      <w:outlineLvl w:val="7"/>
    </w:pPr>
    <w:rPr>
      <w:rFonts w:ascii="Arial" w:hAnsi="Arial" w:eastAsia="黑体"/>
      <w:sz w:val="24"/>
      <w:szCs w:val="24"/>
    </w:rPr>
  </w:style>
  <w:style w:type="paragraph" w:styleId="924">
    <w:name w:val="标题 9"/>
    <w:basedOn w:val="915"/>
    <w:next w:val="915"/>
    <w:link w:val="943"/>
    <w:qFormat/>
    <w:pPr>
      <w:numPr>
        <w:ilvl w:val="8"/>
        <w:numId w:val="1"/>
      </w:numPr>
      <w:keepLines/>
      <w:keepNext/>
      <w:spacing w:before="240" w:after="64" w:line="320" w:lineRule="auto"/>
      <w:outlineLvl w:val="8"/>
    </w:pPr>
    <w:rPr>
      <w:rFonts w:ascii="Arial" w:hAnsi="Arial" w:eastAsia="黑体"/>
      <w:sz w:val="20"/>
    </w:rPr>
  </w:style>
  <w:style w:type="character" w:styleId="925">
    <w:name w:val="默认段落字体"/>
    <w:next w:val="925"/>
    <w:link w:val="915"/>
    <w:uiPriority w:val="1"/>
    <w:unhideWhenUsed/>
  </w:style>
  <w:style w:type="table" w:styleId="926">
    <w:name w:val="普通表格"/>
    <w:next w:val="926"/>
    <w:link w:val="915"/>
    <w:uiPriority w:val="99"/>
    <w:unhideWhenUsed/>
    <w:tblPr/>
  </w:style>
  <w:style w:type="character" w:styleId="927">
    <w:name w:val="标题 3 字符"/>
    <w:next w:val="927"/>
    <w:link w:val="918"/>
    <w:rPr>
      <w:rFonts w:ascii="Times New Roman" w:hAnsi="Times New Roman" w:eastAsia="宋体" w:cs="Times New Roman"/>
      <w:b/>
      <w:bCs/>
      <w:sz w:val="32"/>
      <w:szCs w:val="32"/>
    </w:rPr>
  </w:style>
  <w:style w:type="character" w:styleId="928">
    <w:name w:val="正文首行缩进 字符"/>
    <w:next w:val="928"/>
    <w:link w:val="967"/>
    <w:rPr>
      <w:rFonts w:ascii="仿宋_GB2312" w:hAnsi="Times New Roman" w:eastAsia="仿宋_GB2312" w:cs="Times New Roman"/>
      <w:sz w:val="30"/>
      <w:szCs w:val="30"/>
    </w:rPr>
  </w:style>
  <w:style w:type="character" w:styleId="929">
    <w:name w:val="批注主题 字符"/>
    <w:next w:val="929"/>
    <w:link w:val="998"/>
    <w:semiHidden/>
    <w:rPr>
      <w:rFonts w:ascii="Times New Roman" w:hAnsi="Times New Roman" w:eastAsia="宋体" w:cs="Times New Roman"/>
      <w:b/>
      <w:bCs/>
      <w:szCs w:val="21"/>
    </w:rPr>
  </w:style>
  <w:style w:type="character" w:styleId="930">
    <w:name w:val="批注框文本 字符"/>
    <w:next w:val="930"/>
    <w:link w:val="985"/>
    <w:semiHidden/>
    <w:rPr>
      <w:rFonts w:ascii="Times New Roman" w:hAnsi="Times New Roman" w:eastAsia="宋体" w:cs="Times New Roman"/>
      <w:sz w:val="18"/>
      <w:szCs w:val="18"/>
    </w:rPr>
  </w:style>
  <w:style w:type="character" w:styleId="931">
    <w:name w:val="正文文本 2 字符"/>
    <w:next w:val="931"/>
    <w:link w:val="965"/>
    <w:rPr>
      <w:rFonts w:ascii="楷体_GB2312" w:hAnsi="Times New Roman" w:eastAsia="楷体_GB2312" w:cs="Times New Roman"/>
      <w:sz w:val="28"/>
      <w:szCs w:val="28"/>
    </w:rPr>
  </w:style>
  <w:style w:type="character" w:styleId="932">
    <w:name w:val="文档结构图 字符"/>
    <w:next w:val="932"/>
    <w:link w:val="1004"/>
    <w:semiHidden/>
    <w:rPr>
      <w:rFonts w:ascii="Times New Roman" w:hAnsi="Times New Roman" w:eastAsia="宋体" w:cs="Times New Roman"/>
      <w:szCs w:val="21"/>
      <w:shd w:val="clear" w:color="auto" w:fill="000080"/>
    </w:rPr>
  </w:style>
  <w:style w:type="character" w:styleId="933">
    <w:name w:val="二级目录 Char"/>
    <w:next w:val="933"/>
    <w:link w:val="980"/>
    <w:rPr>
      <w:b/>
      <w:sz w:val="30"/>
      <w:szCs w:val="28"/>
      <w:lang w:val="en-US" w:eastAsia="zh-CN" w:bidi="ar-SA"/>
    </w:rPr>
  </w:style>
  <w:style w:type="character" w:styleId="934">
    <w:name w:val="批注引用"/>
    <w:next w:val="934"/>
    <w:link w:val="915"/>
    <w:qFormat/>
    <w:rPr>
      <w:sz w:val="21"/>
      <w:szCs w:val="21"/>
    </w:rPr>
  </w:style>
  <w:style w:type="character" w:styleId="935">
    <w:name w:val="列出段落 Char,Bullet List Char,numbered Char,FooterText Char,List Paragraph1 Char,Paragraphe de liste1 Char"/>
    <w:next w:val="935"/>
    <w:link w:val="993"/>
    <w:rPr>
      <w:rFonts w:ascii="Calibri" w:hAnsi="Calibri"/>
      <w:sz w:val="24"/>
      <w:szCs w:val="24"/>
      <w:lang w:eastAsia="en-US" w:bidi="en-US"/>
    </w:rPr>
  </w:style>
  <w:style w:type="character" w:styleId="936">
    <w:name w:val="页码"/>
    <w:next w:val="936"/>
    <w:link w:val="915"/>
  </w:style>
  <w:style w:type="character" w:styleId="937">
    <w:name w:val="标题 6 字符"/>
    <w:next w:val="937"/>
    <w:link w:val="921"/>
    <w:rPr>
      <w:rFonts w:ascii="Arial" w:hAnsi="Arial" w:eastAsia="黑体" w:cs="Times New Roman"/>
      <w:b/>
      <w:bCs/>
      <w:sz w:val="24"/>
      <w:szCs w:val="24"/>
    </w:rPr>
  </w:style>
  <w:style w:type="character" w:styleId="938">
    <w:name w:val="超链接"/>
    <w:next w:val="938"/>
    <w:link w:val="915"/>
    <w:rPr>
      <w:color w:val="0000ff"/>
      <w:u w:val="single"/>
    </w:rPr>
  </w:style>
  <w:style w:type="character" w:styleId="939">
    <w:name w:val="正文文本缩进 3 字符"/>
    <w:next w:val="939"/>
    <w:link w:val="968"/>
    <w:rPr>
      <w:rFonts w:ascii="Arial" w:hAnsi="Arial" w:eastAsia="仿宋_GB2312" w:cs="Arial"/>
      <w:color w:val="ffff00"/>
      <w:sz w:val="32"/>
      <w:szCs w:val="32"/>
    </w:rPr>
  </w:style>
  <w:style w:type="character" w:styleId="940">
    <w:name w:val="标题 5 字符"/>
    <w:next w:val="940"/>
    <w:link w:val="920"/>
    <w:rPr>
      <w:rFonts w:ascii="宋体" w:hAnsi="Times New Roman" w:eastAsia="宋体" w:cs="Times New Roman"/>
      <w:color w:val="000000"/>
      <w:sz w:val="28"/>
      <w:szCs w:val="28"/>
    </w:rPr>
  </w:style>
  <w:style w:type="character" w:styleId="941">
    <w:name w:val="标题 7 字符"/>
    <w:next w:val="941"/>
    <w:link w:val="922"/>
    <w:rPr>
      <w:rFonts w:ascii="Times New Roman" w:hAnsi="Times New Roman" w:eastAsia="宋体" w:cs="Times New Roman"/>
      <w:b/>
      <w:bCs/>
      <w:sz w:val="24"/>
      <w:szCs w:val="24"/>
    </w:rPr>
  </w:style>
  <w:style w:type="character" w:styleId="942">
    <w:name w:val="标题 1 字符"/>
    <w:next w:val="942"/>
    <w:link w:val="916"/>
    <w:rPr>
      <w:rFonts w:ascii="楷体_GB2312" w:hAnsi="Times New Roman" w:eastAsia="楷体_GB2312" w:cs="Times New Roman"/>
      <w:sz w:val="28"/>
      <w:szCs w:val="28"/>
    </w:rPr>
  </w:style>
  <w:style w:type="character" w:styleId="943">
    <w:name w:val="标题 9 字符"/>
    <w:next w:val="943"/>
    <w:link w:val="924"/>
    <w:rPr>
      <w:rFonts w:ascii="Arial" w:hAnsi="Arial" w:eastAsia="黑体" w:cs="Times New Roman"/>
      <w:szCs w:val="21"/>
    </w:rPr>
  </w:style>
  <w:style w:type="character" w:styleId="944">
    <w:name w:val="正文文本 3 字符"/>
    <w:next w:val="944"/>
    <w:link w:val="981"/>
    <w:rPr>
      <w:rFonts w:ascii="仿宋_GB2312" w:hAnsi="Arial" w:eastAsia="仿宋_GB2312" w:cs="Times New Roman"/>
      <w:sz w:val="32"/>
      <w:szCs w:val="32"/>
    </w:rPr>
  </w:style>
  <w:style w:type="character" w:styleId="945">
    <w:name w:val="纯文本 字符"/>
    <w:next w:val="945"/>
    <w:link w:val="973"/>
    <w:rPr>
      <w:rFonts w:ascii="宋体" w:hAnsi="Courier New" w:eastAsia="宋体" w:cs="Courier New"/>
      <w:szCs w:val="21"/>
    </w:rPr>
  </w:style>
  <w:style w:type="character" w:styleId="946">
    <w:name w:val="正文缩进 字符"/>
    <w:next w:val="946"/>
    <w:link w:val="1000"/>
    <w:qFormat/>
    <w:rPr>
      <w:rFonts w:ascii="Times New Roman" w:hAnsi="Times New Roman" w:eastAsia="宋体" w:cs="Times New Roman"/>
      <w:szCs w:val="21"/>
    </w:rPr>
  </w:style>
  <w:style w:type="character" w:styleId="947">
    <w:name w:val="页眉 字符"/>
    <w:next w:val="947"/>
    <w:link w:val="963"/>
    <w:rPr>
      <w:rFonts w:ascii="Times New Roman" w:hAnsi="Times New Roman" w:eastAsia="宋体" w:cs="Times New Roman"/>
      <w:sz w:val="18"/>
      <w:szCs w:val="18"/>
    </w:rPr>
  </w:style>
  <w:style w:type="character" w:styleId="948">
    <w:name w:val="页脚 字符"/>
    <w:next w:val="948"/>
    <w:link w:val="990"/>
    <w:uiPriority w:val="99"/>
    <w:rPr>
      <w:rFonts w:ascii="Times New Roman" w:hAnsi="Times New Roman" w:eastAsia="宋体" w:cs="Times New Roman"/>
      <w:sz w:val="18"/>
      <w:szCs w:val="18"/>
    </w:rPr>
  </w:style>
  <w:style w:type="character" w:styleId="949">
    <w:name w:val="正文文本缩进 2 字符"/>
    <w:next w:val="949"/>
    <w:link w:val="987"/>
    <w:rPr>
      <w:rFonts w:ascii="Arial" w:hAnsi="Arial" w:eastAsia="仿宋_GB2312" w:cs="Arial"/>
      <w:sz w:val="32"/>
      <w:szCs w:val="32"/>
    </w:rPr>
  </w:style>
  <w:style w:type="character" w:styleId="950">
    <w:name w:val="标题 2 字符"/>
    <w:next w:val="950"/>
    <w:link w:val="917"/>
    <w:rPr>
      <w:rFonts w:ascii="Arial" w:hAnsi="Arial" w:eastAsia="幼圆" w:cs="Arial"/>
      <w:b/>
      <w:bCs/>
      <w:sz w:val="44"/>
      <w:szCs w:val="44"/>
    </w:rPr>
  </w:style>
  <w:style w:type="character" w:styleId="951">
    <w:name w:val="已访问的超链接"/>
    <w:next w:val="951"/>
    <w:link w:val="915"/>
    <w:rPr>
      <w:color w:val="800080"/>
      <w:u w:val="single"/>
    </w:rPr>
  </w:style>
  <w:style w:type="character" w:styleId="952">
    <w:name w:val="正文文本 字符"/>
    <w:next w:val="952"/>
    <w:link w:val="974"/>
    <w:rPr>
      <w:rFonts w:ascii="楷体_GB2312" w:hAnsi="Arial" w:eastAsia="楷体_GB2312" w:cs="Times New Roman"/>
      <w:sz w:val="28"/>
      <w:szCs w:val="28"/>
    </w:rPr>
  </w:style>
  <w:style w:type="character" w:styleId="953">
    <w:name w:val="font5 Char"/>
    <w:next w:val="953"/>
    <w:link w:val="915"/>
    <w:rPr>
      <w:rFonts w:ascii="宋体" w:hAnsi="宋体" w:eastAsia="宋体"/>
      <w:sz w:val="28"/>
      <w:szCs w:val="28"/>
      <w:lang w:val="en-US" w:eastAsia="zh-CN" w:bidi="ar-SA"/>
    </w:rPr>
  </w:style>
  <w:style w:type="character" w:styleId="954">
    <w:name w:val="要点"/>
    <w:next w:val="954"/>
    <w:link w:val="915"/>
    <w:qFormat/>
    <w:rPr>
      <w:b/>
      <w:bCs/>
    </w:rPr>
  </w:style>
  <w:style w:type="character" w:styleId="955">
    <w:name w:val="标题 4 字符"/>
    <w:next w:val="955"/>
    <w:link w:val="919"/>
    <w:rPr>
      <w:rFonts w:ascii="Arial" w:hAnsi="Arial" w:eastAsia="黑体" w:cs="Arial"/>
      <w:b/>
      <w:bCs/>
      <w:sz w:val="28"/>
      <w:szCs w:val="28"/>
    </w:rPr>
  </w:style>
  <w:style w:type="character" w:styleId="956">
    <w:name w:val="正文文本缩进 字符"/>
    <w:next w:val="956"/>
    <w:link w:val="992"/>
    <w:rPr>
      <w:rFonts w:ascii="楷体_GB2312" w:hAnsi="Times New Roman" w:eastAsia="楷体_GB2312" w:cs="Times New Roman"/>
      <w:sz w:val="32"/>
      <w:szCs w:val="32"/>
    </w:rPr>
  </w:style>
  <w:style w:type="character" w:styleId="957">
    <w:name w:val="正文首行缩进 2 字符"/>
    <w:next w:val="957"/>
    <w:link w:val="1020"/>
    <w:rPr>
      <w:rFonts w:ascii="宋体" w:hAnsi="宋体" w:eastAsia="宋体" w:cs="Times New Roman"/>
      <w:sz w:val="32"/>
      <w:szCs w:val="20"/>
    </w:rPr>
  </w:style>
  <w:style w:type="character" w:styleId="958">
    <w:name w:val="列出段落 字符"/>
    <w:next w:val="958"/>
    <w:link w:val="1024"/>
    <w:uiPriority w:val="34"/>
    <w:qFormat/>
    <w:rPr>
      <w:sz w:val="24"/>
      <w:szCs w:val="24"/>
      <w:lang w:eastAsia="en-US" w:bidi="en-US"/>
    </w:rPr>
  </w:style>
  <w:style w:type="character" w:styleId="959">
    <w:name w:val="日期 字符"/>
    <w:next w:val="959"/>
    <w:link w:val="1011"/>
    <w:rPr>
      <w:rFonts w:ascii="Times New Roman" w:hAnsi="Times New Roman" w:eastAsia="宋体" w:cs="Times New Roman"/>
      <w:sz w:val="24"/>
      <w:szCs w:val="24"/>
    </w:rPr>
  </w:style>
  <w:style w:type="character" w:styleId="960">
    <w:name w:val="标题 字符"/>
    <w:next w:val="960"/>
    <w:link w:val="986"/>
    <w:uiPriority w:val="10"/>
    <w:rPr>
      <w:rFonts w:ascii="Cambria" w:hAnsi="Cambria" w:cs="Times New Roman"/>
      <w:b/>
      <w:bCs/>
      <w:sz w:val="32"/>
      <w:szCs w:val="32"/>
    </w:rPr>
  </w:style>
  <w:style w:type="character" w:styleId="961">
    <w:name w:val="标题 8 字符"/>
    <w:next w:val="961"/>
    <w:link w:val="923"/>
    <w:rPr>
      <w:rFonts w:ascii="Arial" w:hAnsi="Arial" w:eastAsia="黑体" w:cs="Times New Roman"/>
      <w:sz w:val="24"/>
      <w:szCs w:val="24"/>
    </w:rPr>
  </w:style>
  <w:style w:type="character" w:styleId="962">
    <w:name w:val="批注文字 字符"/>
    <w:next w:val="962"/>
    <w:link w:val="975"/>
    <w:qFormat/>
    <w:rPr>
      <w:rFonts w:ascii="Times New Roman" w:hAnsi="Times New Roman" w:eastAsia="宋体" w:cs="Times New Roman"/>
      <w:szCs w:val="21"/>
    </w:rPr>
  </w:style>
  <w:style w:type="paragraph" w:styleId="963">
    <w:name w:val="页眉"/>
    <w:basedOn w:val="915"/>
    <w:next w:val="963"/>
    <w:link w:val="947"/>
    <w:pPr>
      <w:jc w:val="center"/>
      <w:tabs>
        <w:tab w:val="center" w:pos="4153" w:leader="none"/>
        <w:tab w:val="right" w:pos="8306" w:leader="none"/>
      </w:tabs>
      <w:pBdr>
        <w:bottom w:val="single" w:color="000000" w:sz="6" w:space="1"/>
      </w:pBdr>
    </w:pPr>
    <w:rPr>
      <w:sz w:val="18"/>
      <w:szCs w:val="18"/>
    </w:rPr>
  </w:style>
  <w:style w:type="paragraph" w:styleId="964">
    <w:name w:val="table_1stline"/>
    <w:basedOn w:val="915"/>
    <w:next w:val="964"/>
    <w:link w:val="915"/>
    <w:pPr>
      <w:jc w:val="left"/>
      <w:spacing w:before="120"/>
      <w:widowControl/>
    </w:pPr>
    <w:rPr>
      <w:bCs/>
      <w:sz w:val="20"/>
      <w:szCs w:val="20"/>
      <w:lang w:val="de-DE" w:eastAsia="de-DE"/>
    </w:rPr>
  </w:style>
  <w:style w:type="paragraph" w:styleId="965">
    <w:name w:val="正文文本 2"/>
    <w:basedOn w:val="915"/>
    <w:next w:val="965"/>
    <w:link w:val="931"/>
    <w:pPr>
      <w:jc w:val="center"/>
      <w:widowControl/>
    </w:pPr>
    <w:rPr>
      <w:rFonts w:ascii="楷体_GB2312" w:eastAsia="楷体_GB2312"/>
      <w:sz w:val="28"/>
      <w:szCs w:val="28"/>
    </w:rPr>
  </w:style>
  <w:style w:type="paragraph" w:styleId="966">
    <w:name w:val="xl27"/>
    <w:basedOn w:val="915"/>
    <w:next w:val="966"/>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正文首行缩进"/>
    <w:basedOn w:val="915"/>
    <w:next w:val="967"/>
    <w:link w:val="928"/>
    <w:pPr>
      <w:ind w:firstLine="200"/>
      <w:spacing w:line="360" w:lineRule="auto"/>
    </w:pPr>
    <w:rPr>
      <w:rFonts w:ascii="仿宋_GB2312" w:eastAsia="仿宋_GB2312"/>
      <w:sz w:val="30"/>
      <w:szCs w:val="30"/>
    </w:rPr>
  </w:style>
  <w:style w:type="paragraph" w:styleId="968">
    <w:name w:val="正文文本缩进 3"/>
    <w:basedOn w:val="915"/>
    <w:next w:val="968"/>
    <w:link w:val="939"/>
    <w:pPr>
      <w:ind w:left="645" w:firstLine="645"/>
    </w:pPr>
    <w:rPr>
      <w:rFonts w:ascii="Arial" w:hAnsi="Arial" w:eastAsia="仿宋_GB2312"/>
      <w:color w:val="ffff00"/>
      <w:sz w:val="32"/>
      <w:szCs w:val="32"/>
    </w:rPr>
  </w:style>
  <w:style w:type="paragraph" w:styleId="969">
    <w:name w:val="font6"/>
    <w:basedOn w:val="915"/>
    <w:next w:val="969"/>
    <w:link w:val="915"/>
    <w:pPr>
      <w:jc w:val="left"/>
      <w:spacing w:before="100" w:beforeAutospacing="1" w:after="100" w:afterAutospacing="1"/>
      <w:widowControl/>
    </w:pPr>
    <w:rPr>
      <w:rFonts w:hint="eastAsia" w:ascii="宋体" w:hAnsi="宋体"/>
      <w:sz w:val="28"/>
      <w:szCs w:val="28"/>
      <w:u w:val="single"/>
    </w:rPr>
  </w:style>
  <w:style w:type="paragraph" w:styleId="970">
    <w:name w:val="目录 5"/>
    <w:basedOn w:val="915"/>
    <w:next w:val="915"/>
    <w:link w:val="915"/>
    <w:semiHidden/>
    <w:pPr>
      <w:ind w:left="840"/>
      <w:jc w:val="left"/>
    </w:pPr>
  </w:style>
  <w:style w:type="paragraph" w:styleId="971">
    <w:name w:val="目录 2"/>
    <w:basedOn w:val="915"/>
    <w:next w:val="915"/>
    <w:link w:val="915"/>
    <w:semiHidden/>
    <w:pPr>
      <w:ind w:left="210"/>
      <w:jc w:val="left"/>
    </w:pPr>
    <w:rPr>
      <w:smallCaps/>
      <w:szCs w:val="24"/>
    </w:rPr>
  </w:style>
  <w:style w:type="paragraph" w:styleId="972">
    <w:name w:val="修订"/>
    <w:next w:val="972"/>
    <w:link w:val="915"/>
    <w:uiPriority w:val="99"/>
    <w:semiHidden/>
    <w:rPr>
      <w:sz w:val="21"/>
      <w:szCs w:val="21"/>
      <w:lang w:val="en-US" w:eastAsia="zh-CN" w:bidi="ar-SA"/>
    </w:rPr>
  </w:style>
  <w:style w:type="paragraph" w:styleId="973">
    <w:name w:val="纯文本"/>
    <w:basedOn w:val="915"/>
    <w:next w:val="973"/>
    <w:link w:val="945"/>
    <w:qFormat/>
    <w:rPr>
      <w:rFonts w:ascii="宋体" w:hAnsi="Courier New"/>
      <w:sz w:val="20"/>
    </w:rPr>
  </w:style>
  <w:style w:type="paragraph" w:styleId="974">
    <w:name w:val="正文文本"/>
    <w:basedOn w:val="915"/>
    <w:next w:val="974"/>
    <w:link w:val="952"/>
    <w:rPr>
      <w:rFonts w:ascii="楷体_GB2312" w:hAnsi="Arial" w:eastAsia="楷体_GB2312"/>
      <w:sz w:val="28"/>
      <w:szCs w:val="28"/>
    </w:rPr>
  </w:style>
  <w:style w:type="paragraph" w:styleId="975">
    <w:name w:val="批注文字"/>
    <w:basedOn w:val="915"/>
    <w:next w:val="975"/>
    <w:link w:val="962"/>
    <w:qFormat/>
    <w:pPr>
      <w:jc w:val="left"/>
    </w:pPr>
    <w:rPr>
      <w:sz w:val="20"/>
    </w:rPr>
  </w:style>
  <w:style w:type="paragraph" w:styleId="976">
    <w:name w:val="标题3"/>
    <w:basedOn w:val="915"/>
    <w:next w:val="915"/>
    <w:link w:val="915"/>
    <w:pPr>
      <w:ind w:firstLine="624"/>
      <w:spacing w:line="590" w:lineRule="atLeast"/>
    </w:pPr>
    <w:rPr>
      <w:rFonts w:ascii="方正黑体_GBK" w:eastAsia="方正黑体_GBK"/>
      <w:sz w:val="32"/>
      <w:szCs w:val="32"/>
    </w:rPr>
  </w:style>
  <w:style w:type="paragraph" w:styleId="977">
    <w:name w:val="样式1"/>
    <w:basedOn w:val="915"/>
    <w:next w:val="977"/>
    <w:link w:val="915"/>
    <w:pPr>
      <w:numPr>
        <w:ilvl w:val="0"/>
        <w:numId w:val="2"/>
      </w:numPr>
      <w:tabs>
        <w:tab w:val="left" w:pos="709" w:leader="none"/>
      </w:tabs>
    </w:pPr>
    <w:rPr>
      <w:rFonts w:ascii="宋体" w:hAnsi="宋体"/>
    </w:rPr>
  </w:style>
  <w:style w:type="paragraph" w:styleId="978">
    <w:name w:val="图标"/>
    <w:basedOn w:val="915"/>
    <w:next w:val="915"/>
    <w:link w:val="9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目录 7"/>
    <w:basedOn w:val="915"/>
    <w:next w:val="915"/>
    <w:link w:val="915"/>
    <w:semiHidden/>
    <w:pPr>
      <w:ind w:left="1260"/>
      <w:jc w:val="left"/>
    </w:pPr>
  </w:style>
  <w:style w:type="paragraph" w:styleId="980">
    <w:name w:val="二级目录"/>
    <w:next w:val="915"/>
    <w:link w:val="933"/>
    <w:pPr>
      <w:numPr>
        <w:ilvl w:val="0"/>
        <w:numId w:val="3"/>
      </w:numPr>
      <w:tabs>
        <w:tab w:val="left" w:pos="907" w:leader="none"/>
        <w:tab w:val="left" w:pos="1145" w:leader="none"/>
      </w:tabs>
      <w:outlineLvl w:val="1"/>
    </w:pPr>
    <w:rPr>
      <w:b/>
      <w:sz w:val="30"/>
      <w:szCs w:val="28"/>
      <w:lang w:val="en-US" w:eastAsia="zh-CN" w:bidi="ar-SA"/>
    </w:rPr>
  </w:style>
  <w:style w:type="paragraph" w:styleId="981">
    <w:name w:val="正文文本 3"/>
    <w:basedOn w:val="915"/>
    <w:next w:val="981"/>
    <w:link w:val="944"/>
    <w:rPr>
      <w:rFonts w:ascii="仿宋_GB2312" w:hAnsi="Arial" w:eastAsia="仿宋_GB2312"/>
      <w:sz w:val="32"/>
      <w:szCs w:val="32"/>
    </w:rPr>
  </w:style>
  <w:style w:type="paragraph" w:styleId="982">
    <w:name w:val="xl29"/>
    <w:basedOn w:val="915"/>
    <w:next w:val="982"/>
    <w:link w:val="91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name w:val="Char Char Char Char"/>
    <w:basedOn w:val="1004"/>
    <w:next w:val="983"/>
    <w:link w:val="915"/>
    <w:pPr>
      <w:spacing w:line="360" w:lineRule="auto"/>
    </w:pPr>
    <w:rPr>
      <w:rFonts w:ascii="Tahoma" w:hAnsi="Tahoma"/>
      <w:sz w:val="24"/>
      <w:szCs w:val="24"/>
    </w:rPr>
  </w:style>
  <w:style w:type="paragraph" w:styleId="984">
    <w:name w:val="列表"/>
    <w:basedOn w:val="915"/>
    <w:next w:val="984"/>
    <w:link w:val="915"/>
    <w:pPr>
      <w:ind w:left="200" w:hanging="200"/>
    </w:pPr>
  </w:style>
  <w:style w:type="paragraph" w:styleId="985">
    <w:name w:val="批注框文本"/>
    <w:basedOn w:val="915"/>
    <w:next w:val="985"/>
    <w:link w:val="930"/>
    <w:semiHidden/>
    <w:rPr>
      <w:sz w:val="18"/>
      <w:szCs w:val="18"/>
    </w:rPr>
  </w:style>
  <w:style w:type="paragraph" w:styleId="986">
    <w:name w:val="标题"/>
    <w:basedOn w:val="915"/>
    <w:next w:val="915"/>
    <w:link w:val="960"/>
    <w:uiPriority w:val="10"/>
    <w:qFormat/>
    <w:pPr>
      <w:jc w:val="center"/>
      <w:spacing w:before="240" w:after="60"/>
      <w:outlineLvl w:val="0"/>
    </w:pPr>
    <w:rPr>
      <w:rFonts w:ascii="Cambria" w:hAnsi="Cambria"/>
      <w:b/>
      <w:bCs/>
      <w:sz w:val="32"/>
      <w:szCs w:val="32"/>
    </w:rPr>
  </w:style>
  <w:style w:type="paragraph" w:styleId="987">
    <w:name w:val="正文文本缩进 2"/>
    <w:basedOn w:val="915"/>
    <w:next w:val="987"/>
    <w:link w:val="949"/>
    <w:pPr>
      <w:ind w:left="630" w:firstLine="645"/>
    </w:pPr>
    <w:rPr>
      <w:rFonts w:ascii="Arial" w:hAnsi="Arial" w:eastAsia="仿宋_GB2312"/>
      <w:sz w:val="32"/>
      <w:szCs w:val="32"/>
    </w:rPr>
  </w:style>
  <w:style w:type="paragraph" w:styleId="988">
    <w:name w:val="目录 6"/>
    <w:basedOn w:val="915"/>
    <w:next w:val="915"/>
    <w:link w:val="915"/>
    <w:semiHidden/>
    <w:pPr>
      <w:ind w:left="1050"/>
      <w:jc w:val="left"/>
    </w:pPr>
  </w:style>
  <w:style w:type="paragraph" w:styleId="989">
    <w:name w:val="列表 2"/>
    <w:basedOn w:val="915"/>
    <w:next w:val="989"/>
    <w:link w:val="915"/>
    <w:pPr>
      <w:ind w:left="100" w:hanging="200"/>
    </w:pPr>
  </w:style>
  <w:style w:type="paragraph" w:styleId="990">
    <w:name w:val="页脚"/>
    <w:basedOn w:val="915"/>
    <w:next w:val="990"/>
    <w:link w:val="948"/>
    <w:uiPriority w:val="99"/>
    <w:pPr>
      <w:jc w:val="left"/>
      <w:tabs>
        <w:tab w:val="center" w:pos="4153" w:leader="none"/>
        <w:tab w:val="right" w:pos="8306" w:leader="none"/>
      </w:tabs>
    </w:pPr>
    <w:rPr>
      <w:sz w:val="18"/>
      <w:szCs w:val="18"/>
    </w:rPr>
  </w:style>
  <w:style w:type="paragraph" w:styleId="991">
    <w:name w:val="目录 8"/>
    <w:basedOn w:val="915"/>
    <w:next w:val="915"/>
    <w:link w:val="915"/>
    <w:semiHidden/>
    <w:pPr>
      <w:ind w:left="1470"/>
      <w:jc w:val="left"/>
    </w:pPr>
  </w:style>
  <w:style w:type="paragraph" w:styleId="992">
    <w:name w:val="正文文本缩进"/>
    <w:basedOn w:val="915"/>
    <w:next w:val="992"/>
    <w:link w:val="956"/>
    <w:pPr>
      <w:ind w:firstLine="645"/>
    </w:pPr>
    <w:rPr>
      <w:rFonts w:ascii="楷体_GB2312" w:eastAsia="楷体_GB2312"/>
      <w:sz w:val="32"/>
      <w:szCs w:val="32"/>
    </w:rPr>
  </w:style>
  <w:style w:type="paragraph" w:styleId="993">
    <w:name w:val="列出段落1"/>
    <w:basedOn w:val="915"/>
    <w:next w:val="993"/>
    <w:link w:val="935"/>
    <w:qFormat/>
    <w:pPr>
      <w:contextualSpacing/>
      <w:ind w:left="720"/>
      <w:jc w:val="left"/>
      <w:widowControl/>
    </w:pPr>
    <w:rPr>
      <w:rFonts w:ascii="Calibri" w:hAnsi="Calibri"/>
      <w:sz w:val="24"/>
      <w:szCs w:val="24"/>
      <w:lang w:eastAsia="en-US" w:bidi="en-US"/>
    </w:rPr>
  </w:style>
  <w:style w:type="paragraph" w:styleId="994">
    <w:name w:val=" Char Char Char Char Char Char Char Char"/>
    <w:basedOn w:val="915"/>
    <w:next w:val="994"/>
    <w:link w:val="915"/>
    <w:pPr>
      <w:jc w:val="left"/>
      <w:spacing w:after="160" w:line="240" w:lineRule="exact"/>
      <w:widowControl/>
    </w:pPr>
    <w:rPr>
      <w:rFonts w:ascii="Verdana" w:hAnsi="Verdana"/>
      <w:sz w:val="20"/>
      <w:szCs w:val="20"/>
      <w:lang w:eastAsia="en-US"/>
    </w:rPr>
  </w:style>
  <w:style w:type="paragraph" w:styleId="995">
    <w:name w:val="图表目录"/>
    <w:basedOn w:val="915"/>
    <w:next w:val="915"/>
    <w:link w:val="915"/>
    <w:semiHidden/>
    <w:pPr>
      <w:ind w:left="840" w:hanging="420"/>
    </w:pPr>
  </w:style>
  <w:style w:type="paragraph" w:styleId="996">
    <w:name w:val="font5"/>
    <w:basedOn w:val="915"/>
    <w:next w:val="996"/>
    <w:link w:val="915"/>
    <w:pPr>
      <w:jc w:val="left"/>
      <w:spacing w:before="100" w:beforeAutospacing="1" w:after="100" w:afterAutospacing="1"/>
      <w:widowControl/>
    </w:pPr>
    <w:rPr>
      <w:rFonts w:hint="eastAsia" w:ascii="宋体" w:hAnsi="宋体"/>
      <w:sz w:val="28"/>
      <w:szCs w:val="28"/>
    </w:rPr>
  </w:style>
  <w:style w:type="paragraph" w:styleId="997">
    <w:name w:val="普通(网站)"/>
    <w:basedOn w:val="915"/>
    <w:next w:val="997"/>
    <w:link w:val="915"/>
    <w:uiPriority w:val="99"/>
    <w:qFormat/>
    <w:pPr>
      <w:jc w:val="left"/>
      <w:spacing w:before="100" w:beforeAutospacing="1" w:after="100" w:afterAutospacing="1"/>
      <w:widowControl/>
    </w:pPr>
    <w:rPr>
      <w:rFonts w:ascii="宋体" w:hAnsi="宋体" w:cs="宋体"/>
      <w:sz w:val="24"/>
      <w:szCs w:val="24"/>
    </w:rPr>
  </w:style>
  <w:style w:type="paragraph" w:styleId="998">
    <w:name w:val="批注主题"/>
    <w:basedOn w:val="975"/>
    <w:next w:val="975"/>
    <w:link w:val="929"/>
    <w:semiHidden/>
    <w:rPr>
      <w:b/>
      <w:bCs/>
    </w:rPr>
  </w:style>
  <w:style w:type="paragraph" w:styleId="999">
    <w:name w:val="目录 9"/>
    <w:basedOn w:val="915"/>
    <w:next w:val="915"/>
    <w:link w:val="915"/>
    <w:semiHidden/>
    <w:pPr>
      <w:ind w:left="1680"/>
      <w:jc w:val="left"/>
    </w:pPr>
  </w:style>
  <w:style w:type="paragraph" w:styleId="1000">
    <w:name w:val="正文缩进"/>
    <w:basedOn w:val="915"/>
    <w:next w:val="1000"/>
    <w:link w:val="946"/>
    <w:pPr>
      <w:ind w:firstLine="420"/>
    </w:pPr>
    <w:rPr>
      <w:sz w:val="20"/>
    </w:rPr>
  </w:style>
  <w:style w:type="paragraph" w:styleId="1001">
    <w:name w:val=" Char Char Char Char Char Char Char Char Char Char"/>
    <w:basedOn w:val="915"/>
    <w:next w:val="1001"/>
    <w:link w:val="915"/>
    <w:pPr>
      <w:spacing w:line="360" w:lineRule="auto"/>
    </w:pPr>
    <w:rPr>
      <w:sz w:val="24"/>
      <w:szCs w:val="20"/>
    </w:rPr>
  </w:style>
  <w:style w:type="paragraph" w:styleId="1002">
    <w:name w:val="索引 1"/>
    <w:basedOn w:val="915"/>
    <w:next w:val="915"/>
    <w:link w:val="915"/>
    <w:semiHidden/>
    <w:pPr>
      <w:spacing w:line="240" w:lineRule="atLeast"/>
    </w:pPr>
    <w:rPr>
      <w:b/>
      <w:bCs/>
    </w:rPr>
  </w:style>
  <w:style w:type="paragraph" w:styleId="1003">
    <w:name w:val="xl24"/>
    <w:basedOn w:val="915"/>
    <w:next w:val="1003"/>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文档结构图"/>
    <w:basedOn w:val="915"/>
    <w:next w:val="1004"/>
    <w:link w:val="932"/>
    <w:semiHidden/>
    <w:pPr>
      <w:shd w:val="clear" w:color="auto" w:fill="000080"/>
    </w:pPr>
    <w:rPr>
      <w:sz w:val="20"/>
    </w:rPr>
  </w:style>
  <w:style w:type="paragraph" w:styleId="1005">
    <w:name w:val="目录 4"/>
    <w:basedOn w:val="915"/>
    <w:next w:val="915"/>
    <w:link w:val="915"/>
    <w:semiHidden/>
    <w:pPr>
      <w:ind w:left="630"/>
      <w:jc w:val="left"/>
    </w:pPr>
  </w:style>
  <w:style w:type="paragraph" w:styleId="1006">
    <w:name w:val="普通 (Web)"/>
    <w:basedOn w:val="915"/>
    <w:next w:val="1006"/>
    <w:link w:val="915"/>
    <w:pPr>
      <w:jc w:val="left"/>
      <w:spacing w:before="100" w:beforeAutospacing="1" w:after="100" w:afterAutospacing="1"/>
      <w:widowControl/>
    </w:pPr>
    <w:rPr>
      <w:rFonts w:ascii="宋体" w:hAnsi="宋体"/>
      <w:sz w:val="24"/>
      <w:szCs w:val="24"/>
    </w:rPr>
  </w:style>
  <w:style w:type="paragraph" w:styleId="1007">
    <w:name w:val="xl28"/>
    <w:basedOn w:val="915"/>
    <w:next w:val="1007"/>
    <w:link w:val="9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name w:val="目录 1"/>
    <w:basedOn w:val="915"/>
    <w:next w:val="915"/>
    <w:link w:val="915"/>
    <w:semiHidden/>
    <w:pPr>
      <w:jc w:val="left"/>
      <w:spacing w:before="120" w:after="120" w:line="400" w:lineRule="exact"/>
      <w:tabs>
        <w:tab w:val="right" w:pos="8720" w:leader="dot"/>
      </w:tabs>
    </w:pPr>
    <w:rPr>
      <w:rFonts w:ascii="宋体" w:hAnsi="宋体"/>
      <w:caps/>
      <w:sz w:val="24"/>
      <w:szCs w:val="24"/>
    </w:rPr>
  </w:style>
  <w:style w:type="paragraph" w:styleId="1009">
    <w:name w:val=" Char Char Char Char"/>
    <w:basedOn w:val="1004"/>
    <w:next w:val="1009"/>
    <w:link w:val="915"/>
    <w:pPr>
      <w:spacing w:line="360" w:lineRule="auto"/>
    </w:pPr>
    <w:rPr>
      <w:rFonts w:ascii="Tahoma" w:hAnsi="Tahoma"/>
      <w:sz w:val="24"/>
      <w:szCs w:val="24"/>
    </w:rPr>
  </w:style>
  <w:style w:type="paragraph" w:styleId="1010">
    <w:name w:val="table_lines"/>
    <w:basedOn w:val="915"/>
    <w:next w:val="1010"/>
    <w:link w:val="915"/>
    <w:pPr>
      <w:jc w:val="left"/>
      <w:widowControl/>
    </w:pPr>
    <w:rPr>
      <w:sz w:val="20"/>
      <w:szCs w:val="20"/>
      <w:lang w:val="de-DE" w:eastAsia="de-DE"/>
    </w:rPr>
  </w:style>
  <w:style w:type="paragraph" w:styleId="1011">
    <w:name w:val="日期"/>
    <w:basedOn w:val="915"/>
    <w:next w:val="915"/>
    <w:link w:val="959"/>
    <w:rPr>
      <w:sz w:val="24"/>
      <w:szCs w:val="24"/>
    </w:rPr>
  </w:style>
  <w:style w:type="paragraph" w:styleId="1012">
    <w:name w:val="Char"/>
    <w:basedOn w:val="915"/>
    <w:next w:val="1012"/>
    <w:link w:val="915"/>
    <w:pPr>
      <w:ind w:firstLine="200"/>
      <w:tabs>
        <w:tab w:val="left" w:pos="360" w:leader="none"/>
      </w:tabs>
    </w:pPr>
    <w:rPr>
      <w:sz w:val="28"/>
      <w:szCs w:val="30"/>
    </w:rPr>
  </w:style>
  <w:style w:type="paragraph" w:styleId="1013">
    <w:name w:val="目录 3"/>
    <w:basedOn w:val="915"/>
    <w:next w:val="915"/>
    <w:link w:val="915"/>
    <w:semiHidden/>
    <w:pPr>
      <w:ind w:left="420"/>
      <w:jc w:val="left"/>
    </w:pPr>
    <w:rPr>
      <w:i/>
      <w:iCs/>
      <w:szCs w:val="24"/>
    </w:rPr>
  </w:style>
  <w:style w:type="paragraph" w:styleId="1014">
    <w:name w:val="文本正文"/>
    <w:basedOn w:val="915"/>
    <w:next w:val="1014"/>
    <w:link w:val="915"/>
    <w:qFormat/>
    <w:pPr>
      <w:ind w:firstLine="200"/>
      <w:spacing w:line="360" w:lineRule="auto"/>
    </w:pPr>
    <w:rPr>
      <w:rFonts w:ascii="宋体" w:hAnsi="宋体" w:eastAsia="等线" w:cs="Times New Roman"/>
      <w:sz w:val="24"/>
      <w:szCs w:val="22"/>
    </w:rPr>
  </w:style>
  <w:style w:type="paragraph" w:styleId="1015">
    <w:name w:val="列表 3"/>
    <w:basedOn w:val="915"/>
    <w:next w:val="1015"/>
    <w:link w:val="915"/>
    <w:pPr>
      <w:ind w:left="100" w:hanging="200"/>
    </w:pPr>
  </w:style>
  <w:style w:type="paragraph" w:styleId="1016">
    <w:name w:val="xl25"/>
    <w:basedOn w:val="915"/>
    <w:next w:val="1016"/>
    <w:link w:val="9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4"/>
    <w:basedOn w:val="915"/>
    <w:next w:val="968"/>
    <w:link w:val="915"/>
    <w:pPr>
      <w:ind w:firstLine="420"/>
      <w:spacing w:line="360" w:lineRule="auto"/>
    </w:pPr>
    <w:rPr>
      <w:color w:val="ff0000"/>
      <w:sz w:val="24"/>
      <w:szCs w:val="24"/>
    </w:rPr>
  </w:style>
  <w:style w:type="paragraph" w:styleId="1018">
    <w:name w:val="无间隔"/>
    <w:next w:val="1018"/>
    <w:link w:val="915"/>
    <w:uiPriority w:val="99"/>
    <w:qFormat/>
    <w:pPr>
      <w:jc w:val="both"/>
      <w:widowControl w:val="off"/>
    </w:pPr>
    <w:rPr>
      <w:sz w:val="21"/>
      <w:szCs w:val="21"/>
      <w:lang w:val="en-US" w:eastAsia="zh-CN" w:bidi="ar-SA"/>
    </w:rPr>
  </w:style>
  <w:style w:type="paragraph" w:styleId="1019">
    <w:name w:val="标题1"/>
    <w:basedOn w:val="915"/>
    <w:next w:val="915"/>
    <w:link w:val="91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name w:val="正文首行缩进 2"/>
    <w:basedOn w:val="992"/>
    <w:next w:val="1020"/>
    <w:link w:val="957"/>
    <w:pPr>
      <w:ind w:firstLine="420"/>
      <w:spacing w:line="360" w:lineRule="auto"/>
    </w:pPr>
    <w:rPr>
      <w:rFonts w:ascii="宋体" w:hAnsi="宋体" w:eastAsia="宋体"/>
      <w:szCs w:val="20"/>
    </w:rPr>
  </w:style>
  <w:style w:type="paragraph" w:styleId="1021">
    <w:name w:val="xl30"/>
    <w:basedOn w:val="915"/>
    <w:next w:val="1021"/>
    <w:link w:val="915"/>
    <w:pPr>
      <w:jc w:val="center"/>
      <w:spacing w:before="100" w:beforeAutospacing="1" w:after="100" w:afterAutospacing="1"/>
      <w:widowControl/>
    </w:pPr>
    <w:rPr>
      <w:rFonts w:ascii="宋体" w:hAnsi="宋体"/>
      <w:b/>
      <w:bCs/>
      <w:sz w:val="36"/>
      <w:szCs w:val="36"/>
    </w:rPr>
  </w:style>
  <w:style w:type="paragraph" w:styleId="1022">
    <w:name w:val="font7"/>
    <w:basedOn w:val="915"/>
    <w:next w:val="1022"/>
    <w:link w:val="915"/>
    <w:pPr>
      <w:jc w:val="left"/>
      <w:spacing w:before="100" w:beforeAutospacing="1" w:after="100" w:afterAutospacing="1"/>
      <w:widowControl/>
    </w:pPr>
    <w:rPr>
      <w:rFonts w:hint="eastAsia" w:ascii="宋体" w:hAnsi="宋体"/>
      <w:sz w:val="18"/>
      <w:szCs w:val="18"/>
    </w:rPr>
  </w:style>
  <w:style w:type="paragraph" w:styleId="1023">
    <w:name w:val="普通正文"/>
    <w:basedOn w:val="915"/>
    <w:next w:val="1023"/>
    <w:link w:val="915"/>
    <w:qFormat/>
    <w:pPr>
      <w:ind w:firstLine="480"/>
      <w:jc w:val="left"/>
      <w:spacing w:before="120" w:after="120" w:line="360" w:lineRule="auto"/>
    </w:pPr>
    <w:rPr>
      <w:rFonts w:ascii="Arial" w:hAnsi="Arial"/>
      <w:sz w:val="24"/>
      <w:szCs w:val="24"/>
    </w:rPr>
  </w:style>
  <w:style w:type="paragraph" w:styleId="1024">
    <w:name w:val="列出段落"/>
    <w:basedOn w:val="915"/>
    <w:next w:val="1024"/>
    <w:link w:val="958"/>
    <w:uiPriority w:val="34"/>
    <w:qFormat/>
    <w:pPr>
      <w:contextualSpacing/>
      <w:ind w:left="720"/>
      <w:jc w:val="left"/>
      <w:widowControl/>
    </w:pPr>
    <w:rPr>
      <w:rFonts w:ascii="Calibri" w:hAnsi="Calibri"/>
      <w:sz w:val="24"/>
      <w:szCs w:val="24"/>
      <w:lang w:eastAsia="en-US" w:bidi="en-US"/>
    </w:rPr>
  </w:style>
  <w:style w:type="paragraph" w:styleId="1025">
    <w:name w:val=" Char"/>
    <w:basedOn w:val="1004"/>
    <w:next w:val="1025"/>
    <w:link w:val="915"/>
    <w:rPr>
      <w:rFonts w:ascii="Tahoma" w:hAnsi="Tahoma"/>
      <w:sz w:val="24"/>
      <w:szCs w:val="24"/>
    </w:rPr>
  </w:style>
  <w:style w:type="paragraph" w:styleId="1026">
    <w:name w:val="xl26"/>
    <w:basedOn w:val="915"/>
    <w:next w:val="102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name w:val="Char Char Char Char Char Char Char Char"/>
    <w:basedOn w:val="915"/>
    <w:next w:val="1027"/>
    <w:link w:val="915"/>
    <w:pPr>
      <w:jc w:val="left"/>
      <w:spacing w:after="160" w:line="240" w:lineRule="exact"/>
      <w:widowControl/>
    </w:pPr>
    <w:rPr>
      <w:rFonts w:ascii="Verdana" w:hAnsi="Verdana"/>
      <w:sz w:val="20"/>
      <w:szCs w:val="20"/>
      <w:lang w:eastAsia="en-US"/>
    </w:rPr>
  </w:style>
  <w:style w:type="paragraph" w:styleId="1028">
    <w:name w:val="附录1"/>
    <w:next w:val="1028"/>
    <w:link w:val="915"/>
    <w:pPr>
      <w:numPr>
        <w:ilvl w:val="0"/>
        <w:numId w:val="3"/>
      </w:numPr>
      <w:spacing w:before="240" w:line="600" w:lineRule="atLeast"/>
      <w:tabs>
        <w:tab w:val="left" w:pos="907" w:leader="none"/>
      </w:tabs>
    </w:pPr>
    <w:rPr>
      <w:b/>
      <w:i/>
      <w:sz w:val="28"/>
      <w:lang w:val="en-US" w:eastAsia="zh-CN" w:bidi="ar-SA"/>
    </w:rPr>
  </w:style>
  <w:style w:type="paragraph" w:styleId="1029">
    <w:name w:val="Body Text(ch)"/>
    <w:basedOn w:val="915"/>
    <w:next w:val="974"/>
    <w:link w:val="915"/>
    <w:pPr>
      <w:spacing w:after="120"/>
    </w:pPr>
    <w:rPr>
      <w:rFonts w:ascii="宋体" w:hAnsi="Arial"/>
      <w:bCs/>
      <w:iCs/>
      <w:szCs w:val="24"/>
    </w:rPr>
  </w:style>
  <w:style w:type="paragraph" w:styleId="1030">
    <w:name w:val="WPSOffice手动目录 1"/>
    <w:next w:val="1030"/>
    <w:link w:val="915"/>
    <w:rPr>
      <w:lang w:val="en-US" w:eastAsia="zh-CN" w:bidi="ar-SA"/>
    </w:rPr>
  </w:style>
  <w:style w:type="table" w:styleId="1031">
    <w:name w:val="网格型"/>
    <w:basedOn w:val="926"/>
    <w:next w:val="1031"/>
    <w:link w:val="915"/>
    <w:pPr>
      <w:jc w:val="both"/>
      <w:widowControl w:val="off"/>
    </w:pPr>
    <w:rPr>
      <w:rFonts w:ascii="Times New Roman" w:hAnsi="Times New Roman" w:eastAsia="宋体" w:cs="Times New Roman"/>
      <w:sz w:val="20"/>
      <w:szCs w:val="20"/>
    </w:rPr>
    <w:tbl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5</cp:revision>
  <dcterms:created xsi:type="dcterms:W3CDTF">2025-11-08T03:32:00Z</dcterms:created>
  <dcterms:modified xsi:type="dcterms:W3CDTF">2026-01-06T06:34:22Z</dcterms:modified>
</cp:coreProperties>
</file>